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A34F4" w14:textId="77777777" w:rsidR="00012DDA" w:rsidRDefault="00012DDA" w:rsidP="00012DDA">
      <w:pPr>
        <w:pStyle w:val="Heading1"/>
      </w:pPr>
      <w:r>
        <w:rPr>
          <w:rFonts w:ascii="Times New Roman" w:eastAsia="Times New Roman" w:hAnsi="Times New Roman" w:cs="Times New Roman"/>
          <w:b/>
          <w:bCs/>
          <w:sz w:val="28"/>
          <w:szCs w:val="28"/>
        </w:rPr>
        <w:t>Appendix: Variable Construction Notes</w:t>
      </w:r>
    </w:p>
    <w:p w14:paraId="190E3AED" w14:textId="77777777" w:rsidR="00012DDA" w:rsidRDefault="00012DDA" w:rsidP="00012DDA">
      <w:pPr>
        <w:spacing w:after="160" w:line="480" w:lineRule="auto"/>
        <w:ind w:firstLine="720"/>
      </w:pPr>
      <w:r>
        <w:t>The ICRG institutional quality composite (0–10) is constructed as the simple average of five ICRG sub-indices: corruption (0–6, re-scaled to 0–2), law and order (0–6, re-scaled to 0–2), bureaucratic quality (0–4, re-scaled to 0–2), democratic accountability (0–6, re-scaled to 0–2), and government stability (0–12, re-scaled to 0–2). Back-casting to 1960 uses a linear prediction from the regression of ICRG on V-Dem variables over the 1984–2022 overlap period (R² = 0.81, coefficient stability confirmed across sub-periods).</w:t>
      </w:r>
    </w:p>
    <w:p w14:paraId="51F7581C" w14:textId="77777777" w:rsidR="00012DDA" w:rsidRDefault="00012DDA" w:rsidP="00012DDA">
      <w:pPr>
        <w:spacing w:after="160" w:line="480" w:lineRule="auto"/>
        <w:ind w:firstLine="720"/>
      </w:pPr>
      <w:r>
        <w:t>Elite coalition structure is coded as a binary variable (1 = competitive, 0 = monopolistic) following Wu's (2025) methodology. Competitive periods require: multiple parties actively competing, meaningful legislative constraints on executive, and documented alternation of power or credible threat thereof. The coding is validated against Polity V XCONST scores (correlation = 0.72) and V-Dem liberal component indices (correlation = 0.68).</w:t>
      </w:r>
    </w:p>
    <w:p w14:paraId="18FC04FD" w14:textId="77777777" w:rsidR="00012DDA" w:rsidRDefault="00012DDA" w:rsidP="00012DDA">
      <w:pPr>
        <w:spacing w:after="160" w:line="480" w:lineRule="auto"/>
        <w:ind w:firstLine="720"/>
      </w:pPr>
      <w:r>
        <w:t>Oil rents for 1970–1980 are constructed from Ministry of Finance archival records of government oil revenue, divided by nominal GDP from IMF archival data. Production data for 1957–2022 are from company annual reports (Elf Aquitaine/Total, Agip/ENI, Perenco) and the Ministry of Hydrocarbons, cross-validated against U.S. EIA international energy statistics. The exogenous oil shock instrument (Brent price × pre-1970 proven reserves) uses reserve estimates fixed at the 1970 level to avoid endogeneity from post-discovery exploration responses.</w:t>
      </w:r>
    </w:p>
    <w:p w14:paraId="2D680D99" w14:textId="77777777" w:rsidR="00F553FF" w:rsidRDefault="00F553FF"/>
    <w:sectPr w:rsidR="00F553FF" w:rsidSect="00012DDA">
      <w:footerReference w:type="default" r:id="rId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81715" w14:textId="77777777" w:rsidR="00012DDA" w:rsidRDefault="00012DDA">
    <w:pPr>
      <w:jc w:val="cente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DA"/>
    <w:rsid w:val="00012DDA"/>
    <w:rsid w:val="003C2EF4"/>
    <w:rsid w:val="00446799"/>
    <w:rsid w:val="00675E51"/>
    <w:rsid w:val="006A7E07"/>
    <w:rsid w:val="00701021"/>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808C"/>
  <w15:chartTrackingRefBased/>
  <w15:docId w15:val="{25590B1C-767E-4AD9-BFE7-E7DD18C8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DDA"/>
    <w:pPr>
      <w:widowControl w:val="0"/>
      <w:spacing w:after="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012DDA"/>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2DDA"/>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2DDA"/>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2DDA"/>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12DDA"/>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12DDA"/>
    <w:pPr>
      <w:keepNext/>
      <w:keepLines/>
      <w:widowControl/>
      <w:spacing w:before="40" w:line="278"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12DDA"/>
    <w:pPr>
      <w:keepNext/>
      <w:keepLines/>
      <w:widowControl/>
      <w:spacing w:before="40" w:line="278"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12DDA"/>
    <w:pPr>
      <w:keepNext/>
      <w:keepLines/>
      <w:widowControl/>
      <w:spacing w:line="278"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12DDA"/>
    <w:pPr>
      <w:keepNext/>
      <w:keepLines/>
      <w:widowControl/>
      <w:spacing w:line="278"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D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D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D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D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D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D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D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D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DDA"/>
    <w:rPr>
      <w:rFonts w:eastAsiaTheme="majorEastAsia" w:cstheme="majorBidi"/>
      <w:color w:val="272727" w:themeColor="text1" w:themeTint="D8"/>
    </w:rPr>
  </w:style>
  <w:style w:type="paragraph" w:styleId="Title">
    <w:name w:val="Title"/>
    <w:basedOn w:val="Normal"/>
    <w:next w:val="Normal"/>
    <w:link w:val="TitleChar"/>
    <w:uiPriority w:val="10"/>
    <w:qFormat/>
    <w:rsid w:val="00012DDA"/>
    <w:pPr>
      <w:widowControl/>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12D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DDA"/>
    <w:pPr>
      <w:widowControl/>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2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DDA"/>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12DDA"/>
    <w:rPr>
      <w:i/>
      <w:iCs/>
      <w:color w:val="404040" w:themeColor="text1" w:themeTint="BF"/>
    </w:rPr>
  </w:style>
  <w:style w:type="paragraph" w:styleId="ListParagraph">
    <w:name w:val="List Paragraph"/>
    <w:basedOn w:val="Normal"/>
    <w:uiPriority w:val="34"/>
    <w:qFormat/>
    <w:rsid w:val="00012DDA"/>
    <w:pPr>
      <w:widowControl/>
      <w:spacing w:after="160" w:line="278" w:lineRule="auto"/>
      <w:ind w:left="72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12DDA"/>
    <w:rPr>
      <w:i/>
      <w:iCs/>
      <w:color w:val="0F4761" w:themeColor="accent1" w:themeShade="BF"/>
    </w:rPr>
  </w:style>
  <w:style w:type="paragraph" w:styleId="IntenseQuote">
    <w:name w:val="Intense Quote"/>
    <w:basedOn w:val="Normal"/>
    <w:next w:val="Normal"/>
    <w:link w:val="IntenseQuoteChar"/>
    <w:uiPriority w:val="30"/>
    <w:qFormat/>
    <w:rsid w:val="00012DDA"/>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12DDA"/>
    <w:rPr>
      <w:i/>
      <w:iCs/>
      <w:color w:val="0F4761" w:themeColor="accent1" w:themeShade="BF"/>
    </w:rPr>
  </w:style>
  <w:style w:type="character" w:styleId="IntenseReference">
    <w:name w:val="Intense Reference"/>
    <w:basedOn w:val="DefaultParagraphFont"/>
    <w:uiPriority w:val="32"/>
    <w:qFormat/>
    <w:rsid w:val="00012D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1320</Characters>
  <Application>Microsoft Office Word</Application>
  <DocSecurity>0</DocSecurity>
  <Lines>11</Lines>
  <Paragraphs>3</Paragraphs>
  <ScaleCrop>false</ScaleCrop>
  <Company>Springer Nature</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2026-06-17T09:51:00Z</dcterms:created>
  <dcterms:modified xsi:type="dcterms:W3CDTF">2026-06-17T09:51:00Z</dcterms:modified>
</cp:coreProperties>
</file>