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8C451">
      <w:pPr>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eastAsia="zh-CN"/>
        </w:rPr>
        <w:drawing>
          <wp:inline distT="0" distB="0" distL="114300" distR="114300">
            <wp:extent cx="5261610" cy="5227320"/>
            <wp:effectExtent l="0" t="0" r="5715" b="1905"/>
            <wp:docPr id="6" name="图片 6" descr="Figure S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igure S1_01"/>
                    <pic:cNvPicPr>
                      <a:picLocks noChangeAspect="1"/>
                    </pic:cNvPicPr>
                  </pic:nvPicPr>
                  <pic:blipFill>
                    <a:blip r:embed="rId4"/>
                    <a:stretch>
                      <a:fillRect/>
                    </a:stretch>
                  </pic:blipFill>
                  <pic:spPr>
                    <a:xfrm>
                      <a:off x="0" y="0"/>
                      <a:ext cx="5261610" cy="5227320"/>
                    </a:xfrm>
                    <a:prstGeom prst="rect">
                      <a:avLst/>
                    </a:prstGeom>
                    <a:noFill/>
                    <a:ln>
                      <a:noFill/>
                    </a:ln>
                  </pic:spPr>
                </pic:pic>
              </a:graphicData>
            </a:graphic>
          </wp:inline>
        </w:drawing>
      </w:r>
    </w:p>
    <w:p w14:paraId="1E01DD74">
      <w:pPr>
        <w:spacing w:line="360" w:lineRule="auto"/>
        <w:rPr>
          <w:rFonts w:ascii="Times New Roman" w:hAnsi="Times New Roman" w:cs="Times New Roman"/>
          <w:bCs/>
          <w:sz w:val="28"/>
          <w:szCs w:val="28"/>
        </w:rPr>
      </w:pPr>
      <w:r>
        <w:rPr>
          <w:rFonts w:hint="eastAsia" w:ascii="Times New Roman" w:hAnsi="Times New Roman" w:cs="Times New Roman"/>
          <w:b/>
          <w:bCs/>
          <w:sz w:val="28"/>
          <w:szCs w:val="28"/>
        </w:rPr>
        <w:t>F</w:t>
      </w:r>
      <w:r>
        <w:rPr>
          <w:rFonts w:ascii="Times New Roman" w:hAnsi="Times New Roman" w:cs="Times New Roman"/>
          <w:b/>
          <w:bCs/>
          <w:sz w:val="28"/>
          <w:szCs w:val="28"/>
        </w:rPr>
        <w:t xml:space="preserve">igure </w:t>
      </w:r>
      <w:r>
        <w:rPr>
          <w:rFonts w:hint="eastAsia" w:ascii="Times New Roman" w:hAnsi="Times New Roman" w:cs="Times New Roman"/>
          <w:b/>
          <w:bCs/>
          <w:sz w:val="28"/>
          <w:szCs w:val="28"/>
        </w:rPr>
        <w:t>S</w:t>
      </w:r>
      <w:r>
        <w:rPr>
          <w:rFonts w:ascii="Times New Roman" w:hAnsi="Times New Roman" w:cs="Times New Roman"/>
          <w:b/>
          <w:bCs/>
          <w:sz w:val="28"/>
          <w:szCs w:val="28"/>
        </w:rPr>
        <w:t xml:space="preserve">1. Quality Control and Integration Results of Single-Cell RNA Sequencing Data. </w:t>
      </w:r>
      <w:r>
        <w:rPr>
          <w:rFonts w:ascii="Times New Roman" w:hAnsi="Times New Roman" w:cs="Times New Roman"/>
          <w:bCs/>
          <w:sz w:val="28"/>
          <w:szCs w:val="28"/>
        </w:rPr>
        <w:t xml:space="preserve">(A) Distributions of nFeature_RNA, nCount_RNA, mitochondrial gene proportion (mt_percent), and hemoglobin gene proportion (HB_percent) are presented, which were used for filtering low-quality cells. (B-C) UMAP plots after Harmony batch correction show that cells from multiple samples (e.g., P1, P2) are successfully mixed without batch effects. Cells from different samples are evenly distributed under the coordinates of PC_1 and PC_2, indicating the reliability of subsequent analyses.  </w:t>
      </w:r>
    </w:p>
    <w:p w14:paraId="52E4721F">
      <w:pPr>
        <w:rPr>
          <w:rFonts w:hint="eastAsia" w:ascii="Times New Roman" w:hAnsi="Times New Roman" w:eastAsia="宋体" w:cs="Times New Roman"/>
          <w:bCs/>
          <w:sz w:val="28"/>
          <w:szCs w:val="28"/>
          <w:lang w:eastAsia="zh-CN"/>
        </w:rPr>
      </w:pPr>
      <w:r>
        <w:rPr>
          <w:rFonts w:hint="eastAsia" w:ascii="Times New Roman" w:hAnsi="Times New Roman" w:eastAsia="宋体" w:cs="Times New Roman"/>
          <w:bCs/>
          <w:sz w:val="28"/>
          <w:szCs w:val="28"/>
          <w:lang w:eastAsia="zh-CN"/>
        </w:rPr>
        <w:drawing>
          <wp:inline distT="0" distB="0" distL="114300" distR="114300">
            <wp:extent cx="5271135" cy="3326765"/>
            <wp:effectExtent l="0" t="0" r="5715" b="6985"/>
            <wp:docPr id="7" name="图片 7" descr="Figure S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igure S2_01"/>
                    <pic:cNvPicPr>
                      <a:picLocks noChangeAspect="1"/>
                    </pic:cNvPicPr>
                  </pic:nvPicPr>
                  <pic:blipFill>
                    <a:blip r:embed="rId5"/>
                    <a:stretch>
                      <a:fillRect/>
                    </a:stretch>
                  </pic:blipFill>
                  <pic:spPr>
                    <a:xfrm>
                      <a:off x="0" y="0"/>
                      <a:ext cx="5271135" cy="3326765"/>
                    </a:xfrm>
                    <a:prstGeom prst="rect">
                      <a:avLst/>
                    </a:prstGeom>
                    <a:noFill/>
                    <a:ln>
                      <a:noFill/>
                    </a:ln>
                  </pic:spPr>
                </pic:pic>
              </a:graphicData>
            </a:graphic>
          </wp:inline>
        </w:drawing>
      </w:r>
    </w:p>
    <w:p w14:paraId="3664F07E">
      <w:pPr>
        <w:spacing w:line="360" w:lineRule="auto"/>
        <w:rPr>
          <w:rFonts w:ascii="Times New Roman" w:hAnsi="Times New Roman" w:cs="Times New Roman"/>
          <w:bCs/>
          <w:sz w:val="28"/>
          <w:szCs w:val="28"/>
        </w:rPr>
      </w:pPr>
      <w:r>
        <w:rPr>
          <w:rFonts w:hint="eastAsia" w:ascii="Times New Roman" w:hAnsi="Times New Roman" w:cs="Times New Roman"/>
          <w:b/>
          <w:bCs/>
          <w:sz w:val="28"/>
          <w:szCs w:val="28"/>
        </w:rPr>
        <w:t>F</w:t>
      </w:r>
      <w:r>
        <w:rPr>
          <w:rFonts w:ascii="Times New Roman" w:hAnsi="Times New Roman" w:cs="Times New Roman"/>
          <w:b/>
          <w:bCs/>
          <w:sz w:val="28"/>
          <w:szCs w:val="28"/>
        </w:rPr>
        <w:t xml:space="preserve">igure </w:t>
      </w:r>
      <w:r>
        <w:rPr>
          <w:rFonts w:hint="eastAsia" w:ascii="Times New Roman" w:hAnsi="Times New Roman" w:cs="Times New Roman"/>
          <w:b/>
          <w:bCs/>
          <w:sz w:val="28"/>
          <w:szCs w:val="28"/>
        </w:rPr>
        <w:t>S</w:t>
      </w:r>
      <w:r>
        <w:rPr>
          <w:rFonts w:ascii="Times New Roman" w:hAnsi="Times New Roman" w:cs="Times New Roman"/>
          <w:b/>
          <w:bCs/>
          <w:sz w:val="28"/>
          <w:szCs w:val="28"/>
        </w:rPr>
        <w:t xml:space="preserve">2. Seurat Clustering and Validation of Sample Origin Mapping. </w:t>
      </w:r>
      <w:r>
        <w:rPr>
          <w:rFonts w:ascii="Times New Roman" w:hAnsi="Times New Roman" w:cs="Times New Roman"/>
          <w:bCs/>
          <w:sz w:val="28"/>
          <w:szCs w:val="28"/>
        </w:rPr>
        <w:t xml:space="preserve">For the UMAP dimensionality reduction plots, the coloring schemes are as follows: The ‘seurat_clusters’ plot shows 10 cell clusters obtained via unsupervised clustering; These plots correspond to 9 clinical samples (M1–M6 for metastatic lesions, P1–P3 for primary lesions). It can be observed that cells from each sample are evenly distributed across multiple clusters, with no sample-specific clustering. This indicates that batch effects have been fully corrected, and the data are suitable for subsequent integration analyses. </w:t>
      </w:r>
    </w:p>
    <w:p w14:paraId="0E2ABE9A">
      <w:pPr>
        <w:rPr>
          <w:rFonts w:ascii="Times New Roman" w:hAnsi="Times New Roman" w:cs="Times New Roman"/>
          <w:bCs/>
          <w:sz w:val="28"/>
          <w:szCs w:val="28"/>
        </w:rPr>
      </w:pPr>
      <w:r>
        <w:rPr>
          <w:rFonts w:ascii="Times New Roman" w:hAnsi="Times New Roman" w:cs="Times New Roman"/>
          <w:bCs/>
          <w:sz w:val="28"/>
          <w:szCs w:val="28"/>
        </w:rPr>
        <w:drawing>
          <wp:inline distT="0" distB="0" distL="114300" distR="114300">
            <wp:extent cx="5274310" cy="4215765"/>
            <wp:effectExtent l="0" t="0" r="2540" b="3810"/>
            <wp:docPr id="8" name="图片 8" descr="Figure S3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igure S3_01"/>
                    <pic:cNvPicPr>
                      <a:picLocks noChangeAspect="1"/>
                    </pic:cNvPicPr>
                  </pic:nvPicPr>
                  <pic:blipFill>
                    <a:blip r:embed="rId6"/>
                    <a:stretch>
                      <a:fillRect/>
                    </a:stretch>
                  </pic:blipFill>
                  <pic:spPr>
                    <a:xfrm>
                      <a:off x="0" y="0"/>
                      <a:ext cx="5274310" cy="4215765"/>
                    </a:xfrm>
                    <a:prstGeom prst="rect">
                      <a:avLst/>
                    </a:prstGeom>
                    <a:noFill/>
                    <a:ln>
                      <a:noFill/>
                    </a:ln>
                  </pic:spPr>
                </pic:pic>
              </a:graphicData>
            </a:graphic>
          </wp:inline>
        </w:drawing>
      </w:r>
    </w:p>
    <w:p w14:paraId="5515B9BA">
      <w:pPr>
        <w:spacing w:line="360" w:lineRule="auto"/>
        <w:rPr>
          <w:rFonts w:ascii="Times New Roman" w:hAnsi="Times New Roman" w:cs="Times New Roman"/>
          <w:bCs/>
          <w:sz w:val="28"/>
          <w:szCs w:val="28"/>
        </w:rPr>
      </w:pPr>
      <w:bookmarkStart w:id="0" w:name="OLE_LINK3"/>
      <w:bookmarkStart w:id="1" w:name="OLE_LINK4"/>
      <w:r>
        <w:rPr>
          <w:rFonts w:hint="eastAsia" w:ascii="Times New Roman" w:hAnsi="Times New Roman" w:cs="Times New Roman"/>
          <w:b/>
          <w:bCs/>
          <w:sz w:val="28"/>
          <w:szCs w:val="28"/>
        </w:rPr>
        <w:t>F</w:t>
      </w:r>
      <w:r>
        <w:rPr>
          <w:rFonts w:ascii="Times New Roman" w:hAnsi="Times New Roman" w:cs="Times New Roman"/>
          <w:b/>
          <w:bCs/>
          <w:sz w:val="28"/>
          <w:szCs w:val="28"/>
        </w:rPr>
        <w:t xml:space="preserve">igure </w:t>
      </w:r>
      <w:r>
        <w:rPr>
          <w:rFonts w:hint="eastAsia" w:ascii="Times New Roman" w:hAnsi="Times New Roman" w:cs="Times New Roman"/>
          <w:b/>
          <w:bCs/>
          <w:sz w:val="28"/>
          <w:szCs w:val="28"/>
        </w:rPr>
        <w:t>S</w:t>
      </w:r>
      <w:r>
        <w:rPr>
          <w:rFonts w:ascii="Times New Roman" w:hAnsi="Times New Roman" w:cs="Times New Roman"/>
          <w:b/>
          <w:bCs/>
          <w:sz w:val="28"/>
          <w:szCs w:val="28"/>
        </w:rPr>
        <w:t xml:space="preserve">3. </w:t>
      </w:r>
      <w:bookmarkEnd w:id="0"/>
      <w:bookmarkEnd w:id="1"/>
      <w:r>
        <w:rPr>
          <w:rFonts w:ascii="Times New Roman" w:hAnsi="Times New Roman" w:cs="Times New Roman"/>
          <w:b/>
          <w:bCs/>
          <w:sz w:val="28"/>
          <w:szCs w:val="28"/>
        </w:rPr>
        <w:t xml:space="preserve">Validation of Cell Identity via Marker Gene Expression and Distribution of Non-Variable Genes. </w:t>
      </w:r>
      <w:r>
        <w:rPr>
          <w:rFonts w:ascii="Times New Roman" w:hAnsi="Times New Roman" w:cs="Times New Roman"/>
          <w:bCs/>
          <w:sz w:val="28"/>
          <w:szCs w:val="28"/>
        </w:rPr>
        <w:t>Dot plots show the expression levels of plasma cell-related immunoglobulin constant region genes (IGKC, IGHG1, IGHG3, IGLC2, IGHG4, IGHA1), the plasma cell marker JCHAIN, and fibroblast/mast cell-related collagen and protease genes (COL3A1, COL1A1, COL1A2, MMP12, TPSB2, TPSAB1) across different cell clusters. The color intensity represents the average expression level, and the dot size indicates the expression proportion. The bar chart below presents the count of non-variable genes (Non-variable count: 23028) and variable genes (Variable count: 3000) in each cluster, which was used to evaluate the saturation of gene expression detection and the reliability of cell identity annotation.</w:t>
      </w:r>
    </w:p>
    <w:p w14:paraId="777EC5BB">
      <w:pPr>
        <w:rPr>
          <w:rFonts w:ascii="Times New Roman" w:hAnsi="Times New Roman" w:cs="Times New Roman"/>
          <w:bCs/>
          <w:sz w:val="28"/>
          <w:szCs w:val="28"/>
        </w:rPr>
      </w:pPr>
      <w:r>
        <w:rPr>
          <w:rFonts w:ascii="Times New Roman" w:hAnsi="Times New Roman" w:cs="Times New Roman"/>
          <w:bCs/>
          <w:sz w:val="28"/>
          <w:szCs w:val="28"/>
        </w:rPr>
        <w:drawing>
          <wp:inline distT="0" distB="0" distL="114300" distR="114300">
            <wp:extent cx="5266690" cy="3950335"/>
            <wp:effectExtent l="0" t="0" r="635" b="2540"/>
            <wp:docPr id="9" name="图片 9" descr="Figure S4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igure S4_01"/>
                    <pic:cNvPicPr>
                      <a:picLocks noChangeAspect="1"/>
                    </pic:cNvPicPr>
                  </pic:nvPicPr>
                  <pic:blipFill>
                    <a:blip r:embed="rId7"/>
                    <a:stretch>
                      <a:fillRect/>
                    </a:stretch>
                  </pic:blipFill>
                  <pic:spPr>
                    <a:xfrm>
                      <a:off x="0" y="0"/>
                      <a:ext cx="5266690" cy="3950335"/>
                    </a:xfrm>
                    <a:prstGeom prst="rect">
                      <a:avLst/>
                    </a:prstGeom>
                    <a:noFill/>
                    <a:ln>
                      <a:noFill/>
                    </a:ln>
                  </pic:spPr>
                </pic:pic>
              </a:graphicData>
            </a:graphic>
          </wp:inline>
        </w:drawing>
      </w:r>
    </w:p>
    <w:p w14:paraId="26515D26">
      <w:pPr>
        <w:spacing w:line="360" w:lineRule="auto"/>
        <w:rPr>
          <w:rFonts w:ascii="Times New Roman" w:hAnsi="Times New Roman" w:cs="Times New Roman"/>
          <w:b/>
          <w:bCs/>
          <w:sz w:val="28"/>
          <w:szCs w:val="28"/>
        </w:rPr>
      </w:pPr>
      <w:r>
        <w:rPr>
          <w:rFonts w:hint="eastAsia" w:ascii="Times New Roman" w:hAnsi="Times New Roman" w:cs="Times New Roman"/>
          <w:b/>
          <w:bCs/>
          <w:sz w:val="28"/>
          <w:szCs w:val="28"/>
        </w:rPr>
        <w:t>F</w:t>
      </w:r>
      <w:r>
        <w:rPr>
          <w:rFonts w:ascii="Times New Roman" w:hAnsi="Times New Roman" w:cs="Times New Roman"/>
          <w:b/>
          <w:bCs/>
          <w:sz w:val="28"/>
          <w:szCs w:val="28"/>
        </w:rPr>
        <w:t xml:space="preserve">igure </w:t>
      </w:r>
      <w:r>
        <w:rPr>
          <w:rFonts w:hint="eastAsia" w:ascii="Times New Roman" w:hAnsi="Times New Roman" w:cs="Times New Roman"/>
          <w:b/>
          <w:bCs/>
          <w:sz w:val="28"/>
          <w:szCs w:val="28"/>
        </w:rPr>
        <w:t>S</w:t>
      </w:r>
      <w:r>
        <w:rPr>
          <w:rFonts w:ascii="Times New Roman" w:hAnsi="Times New Roman" w:cs="Times New Roman"/>
          <w:b/>
          <w:bCs/>
          <w:sz w:val="28"/>
          <w:szCs w:val="28"/>
        </w:rPr>
        <w:t xml:space="preserve">4. Single-Cell GSVA Heatmap for Hallmark Pathway Activity Evaluation. </w:t>
      </w:r>
      <w:r>
        <w:rPr>
          <w:rFonts w:ascii="Times New Roman" w:hAnsi="Times New Roman" w:cs="Times New Roman"/>
          <w:bCs/>
          <w:sz w:val="28"/>
          <w:szCs w:val="28"/>
        </w:rPr>
        <w:t xml:space="preserve">Rows represent 50 Hallmark pathways from the MSigDB database, and columns show the average ssGSEA scores grouped by primary lesions (P) and metastatic lesions (M). The color scale ranges from blue (-0.4, low activity) to red (+0.4, high activity). It can be observed that pathways such as EMT, TNFα-NF-κB, PI3K-Akt-mTOR, hypoxia, and glycolysis are significantly upregulated in metastatic lesions, while metabolism-related pathways including oxidative phosphorylation and DNA repair are relatively downregulated. These results suggest that cancer cells undergo metabolic reprogramming and activation of pro-metastatic signals during the primary-to-metastatic process.  </w:t>
      </w:r>
    </w:p>
    <w:tbl>
      <w:tblPr>
        <w:tblStyle w:val="3"/>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35"/>
        <w:gridCol w:w="1701"/>
        <w:gridCol w:w="1417"/>
        <w:gridCol w:w="1559"/>
        <w:gridCol w:w="851"/>
        <w:gridCol w:w="757"/>
      </w:tblGrid>
      <w:tr w14:paraId="2FA2E9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0" w:type="dxa"/>
            <w:gridSpan w:val="6"/>
            <w:tcBorders>
              <w:top w:val="nil"/>
              <w:bottom w:val="single" w:color="auto" w:sz="4" w:space="0"/>
            </w:tcBorders>
            <w:noWrap w:val="0"/>
            <w:vAlign w:val="center"/>
          </w:tcPr>
          <w:p w14:paraId="74FD53C3">
            <w:pPr>
              <w:keepNext w:val="0"/>
              <w:keepLines w:val="0"/>
              <w:suppressLineNumbers w:val="0"/>
              <w:spacing w:before="0" w:beforeAutospacing="0" w:after="0" w:afterAutospacing="0" w:line="360" w:lineRule="auto"/>
              <w:ind w:left="0" w:right="0"/>
              <w:rPr>
                <w:rFonts w:hint="default" w:ascii="Times New Roman" w:hAnsi="Times New Roman" w:eastAsia="华文楷体" w:cs="Times New Roman"/>
                <w:bCs/>
                <w:szCs w:val="21"/>
              </w:rPr>
            </w:pPr>
            <w:r>
              <w:rPr>
                <w:rFonts w:hint="default" w:ascii="Times New Roman" w:hAnsi="Times New Roman" w:eastAsia="华文楷体" w:cs="Times New Roman"/>
                <w:b/>
                <w:bCs/>
                <w:szCs w:val="21"/>
              </w:rPr>
              <w:t xml:space="preserve">Table 1. </w:t>
            </w:r>
            <w:r>
              <w:rPr>
                <w:rFonts w:hint="default" w:ascii="Times New Roman" w:hAnsi="Times New Roman" w:eastAsia="华文楷体" w:cs="Times New Roman"/>
                <w:bCs/>
                <w:szCs w:val="21"/>
              </w:rPr>
              <w:t>Relationship Between PrPC Expression in Gastric Cancer and Clinicopathological Features.</w:t>
            </w:r>
          </w:p>
        </w:tc>
      </w:tr>
      <w:tr w14:paraId="794188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36" w:type="dxa"/>
            <w:gridSpan w:val="2"/>
            <w:tcBorders>
              <w:top w:val="single" w:color="auto" w:sz="4" w:space="0"/>
              <w:bottom w:val="single" w:color="auto" w:sz="4" w:space="0"/>
            </w:tcBorders>
            <w:noWrap w:val="0"/>
            <w:vAlign w:val="center"/>
          </w:tcPr>
          <w:p w14:paraId="567A5980">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Clinicopathological Features</w:t>
            </w:r>
          </w:p>
        </w:tc>
        <w:tc>
          <w:tcPr>
            <w:tcW w:w="1417" w:type="dxa"/>
            <w:tcBorders>
              <w:top w:val="single" w:color="auto" w:sz="4" w:space="0"/>
              <w:bottom w:val="single" w:color="auto" w:sz="4" w:space="0"/>
            </w:tcBorders>
            <w:noWrap w:val="0"/>
            <w:vAlign w:val="center"/>
          </w:tcPr>
          <w:p w14:paraId="22A90688">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PrPC-Postive (n=66)</w:t>
            </w:r>
          </w:p>
        </w:tc>
        <w:tc>
          <w:tcPr>
            <w:tcW w:w="1559" w:type="dxa"/>
            <w:tcBorders>
              <w:top w:val="single" w:color="auto" w:sz="4" w:space="0"/>
              <w:bottom w:val="single" w:color="auto" w:sz="4" w:space="0"/>
            </w:tcBorders>
            <w:noWrap w:val="0"/>
            <w:vAlign w:val="center"/>
          </w:tcPr>
          <w:p w14:paraId="56788B7C">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PrPC-Negative (n=28)</w:t>
            </w:r>
          </w:p>
        </w:tc>
        <w:tc>
          <w:tcPr>
            <w:tcW w:w="851" w:type="dxa"/>
            <w:tcBorders>
              <w:top w:val="single" w:color="auto" w:sz="4" w:space="0"/>
              <w:bottom w:val="single" w:color="auto" w:sz="4" w:space="0"/>
            </w:tcBorders>
            <w:noWrap w:val="0"/>
            <w:vAlign w:val="center"/>
          </w:tcPr>
          <w:p w14:paraId="2EE417D9">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微软雅黑" w:cs="Times New Roman"/>
                <w:bCs/>
                <w:szCs w:val="21"/>
              </w:rPr>
              <w:t>χ</w:t>
            </w:r>
            <w:r>
              <w:rPr>
                <w:rFonts w:hint="default" w:ascii="Times New Roman" w:hAnsi="Times New Roman" w:eastAsia="微软雅黑" w:cs="Times New Roman"/>
                <w:bCs/>
                <w:szCs w:val="21"/>
                <w:vertAlign w:val="superscript"/>
              </w:rPr>
              <w:t>2</w:t>
            </w:r>
            <w:r>
              <w:rPr>
                <w:rFonts w:hint="default" w:ascii="Times New Roman" w:hAnsi="Times New Roman" w:eastAsia="微软雅黑" w:cs="Times New Roman"/>
                <w:bCs/>
                <w:szCs w:val="21"/>
              </w:rPr>
              <w:t>/t</w:t>
            </w:r>
            <w:r>
              <w:rPr>
                <w:rFonts w:hint="default" w:ascii="Times New Roman" w:hAnsi="Times New Roman" w:eastAsia="华文楷体" w:cs="Times New Roman"/>
                <w:bCs/>
                <w:szCs w:val="21"/>
              </w:rPr>
              <w:t xml:space="preserve"> </w:t>
            </w:r>
          </w:p>
        </w:tc>
        <w:tc>
          <w:tcPr>
            <w:tcW w:w="757" w:type="dxa"/>
            <w:tcBorders>
              <w:top w:val="single" w:color="auto" w:sz="4" w:space="0"/>
              <w:bottom w:val="single" w:color="auto" w:sz="4" w:space="0"/>
            </w:tcBorders>
            <w:noWrap w:val="0"/>
            <w:vAlign w:val="center"/>
          </w:tcPr>
          <w:p w14:paraId="50357385">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i/>
                <w:szCs w:val="21"/>
              </w:rPr>
            </w:pPr>
            <w:r>
              <w:rPr>
                <w:rFonts w:hint="default" w:ascii="Times New Roman" w:hAnsi="Times New Roman" w:eastAsia="华文楷体" w:cs="Times New Roman"/>
                <w:bCs/>
                <w:i/>
                <w:szCs w:val="21"/>
              </w:rPr>
              <w:t>P</w:t>
            </w:r>
          </w:p>
        </w:tc>
      </w:tr>
      <w:tr w14:paraId="0FC25C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Merge w:val="restart"/>
            <w:tcBorders>
              <w:top w:val="single" w:color="auto" w:sz="4" w:space="0"/>
            </w:tcBorders>
            <w:noWrap w:val="0"/>
            <w:vAlign w:val="center"/>
          </w:tcPr>
          <w:p w14:paraId="6374DE14">
            <w:pPr>
              <w:keepNext w:val="0"/>
              <w:keepLines w:val="0"/>
              <w:suppressLineNumbers w:val="0"/>
              <w:spacing w:before="0" w:beforeAutospacing="0" w:after="0" w:afterAutospacing="0" w:line="360" w:lineRule="auto"/>
              <w:ind w:left="0" w:right="0"/>
              <w:rPr>
                <w:rFonts w:hint="default" w:ascii="Times New Roman" w:hAnsi="Times New Roman" w:eastAsia="华文楷体" w:cs="Times New Roman"/>
                <w:bCs/>
                <w:szCs w:val="21"/>
              </w:rPr>
            </w:pPr>
            <w:r>
              <w:rPr>
                <w:rFonts w:hint="default" w:ascii="Times New Roman" w:hAnsi="Times New Roman" w:eastAsia="华文楷体" w:cs="Times New Roman"/>
                <w:bCs/>
                <w:szCs w:val="21"/>
              </w:rPr>
              <w:t>Age</w:t>
            </w:r>
          </w:p>
        </w:tc>
        <w:tc>
          <w:tcPr>
            <w:tcW w:w="1701" w:type="dxa"/>
            <w:tcBorders>
              <w:top w:val="single" w:color="auto" w:sz="4" w:space="0"/>
            </w:tcBorders>
            <w:noWrap w:val="0"/>
            <w:vAlign w:val="center"/>
          </w:tcPr>
          <w:p w14:paraId="42787954">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≥60</w:t>
            </w:r>
          </w:p>
        </w:tc>
        <w:tc>
          <w:tcPr>
            <w:tcW w:w="1417" w:type="dxa"/>
            <w:tcBorders>
              <w:top w:val="single" w:color="auto" w:sz="4" w:space="0"/>
            </w:tcBorders>
            <w:noWrap w:val="0"/>
            <w:vAlign w:val="center"/>
          </w:tcPr>
          <w:p w14:paraId="0C532107">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36</w:t>
            </w:r>
          </w:p>
        </w:tc>
        <w:tc>
          <w:tcPr>
            <w:tcW w:w="1559" w:type="dxa"/>
            <w:tcBorders>
              <w:top w:val="single" w:color="auto" w:sz="4" w:space="0"/>
            </w:tcBorders>
            <w:noWrap w:val="0"/>
            <w:vAlign w:val="center"/>
          </w:tcPr>
          <w:p w14:paraId="5671E605">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13</w:t>
            </w:r>
          </w:p>
        </w:tc>
        <w:tc>
          <w:tcPr>
            <w:tcW w:w="851" w:type="dxa"/>
            <w:vMerge w:val="restart"/>
            <w:tcBorders>
              <w:top w:val="single" w:color="auto" w:sz="4" w:space="0"/>
            </w:tcBorders>
            <w:noWrap w:val="0"/>
            <w:vAlign w:val="center"/>
          </w:tcPr>
          <w:p w14:paraId="3741292A">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0.733</w:t>
            </w:r>
          </w:p>
        </w:tc>
        <w:tc>
          <w:tcPr>
            <w:tcW w:w="757" w:type="dxa"/>
            <w:vMerge w:val="restart"/>
            <w:tcBorders>
              <w:top w:val="single" w:color="auto" w:sz="4" w:space="0"/>
            </w:tcBorders>
            <w:noWrap w:val="0"/>
            <w:vAlign w:val="center"/>
          </w:tcPr>
          <w:p w14:paraId="13127BFB">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0.392</w:t>
            </w:r>
          </w:p>
        </w:tc>
      </w:tr>
      <w:tr w14:paraId="37BF40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Merge w:val="continue"/>
            <w:noWrap w:val="0"/>
            <w:vAlign w:val="center"/>
          </w:tcPr>
          <w:p w14:paraId="26EDECC9">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p>
        </w:tc>
        <w:tc>
          <w:tcPr>
            <w:tcW w:w="1701" w:type="dxa"/>
            <w:noWrap w:val="0"/>
            <w:vAlign w:val="center"/>
          </w:tcPr>
          <w:p w14:paraId="6BDA3423">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&lt;60</w:t>
            </w:r>
          </w:p>
        </w:tc>
        <w:tc>
          <w:tcPr>
            <w:tcW w:w="1417" w:type="dxa"/>
            <w:noWrap w:val="0"/>
            <w:vAlign w:val="center"/>
          </w:tcPr>
          <w:p w14:paraId="59321F5E">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29</w:t>
            </w:r>
          </w:p>
        </w:tc>
        <w:tc>
          <w:tcPr>
            <w:tcW w:w="1559" w:type="dxa"/>
            <w:noWrap w:val="0"/>
            <w:vAlign w:val="center"/>
          </w:tcPr>
          <w:p w14:paraId="5C260D5D">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15</w:t>
            </w:r>
          </w:p>
        </w:tc>
        <w:tc>
          <w:tcPr>
            <w:tcW w:w="851" w:type="dxa"/>
            <w:vMerge w:val="continue"/>
            <w:noWrap w:val="0"/>
            <w:vAlign w:val="center"/>
          </w:tcPr>
          <w:p w14:paraId="3F82E70E">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p>
        </w:tc>
        <w:tc>
          <w:tcPr>
            <w:tcW w:w="757" w:type="dxa"/>
            <w:vMerge w:val="continue"/>
            <w:noWrap w:val="0"/>
            <w:vAlign w:val="center"/>
          </w:tcPr>
          <w:p w14:paraId="523A57BA">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p>
        </w:tc>
      </w:tr>
      <w:tr w14:paraId="1D0EA0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Merge w:val="restart"/>
            <w:noWrap w:val="0"/>
            <w:vAlign w:val="center"/>
          </w:tcPr>
          <w:p w14:paraId="03100527">
            <w:pPr>
              <w:keepNext w:val="0"/>
              <w:keepLines w:val="0"/>
              <w:suppressLineNumbers w:val="0"/>
              <w:spacing w:before="0" w:beforeAutospacing="0" w:after="0" w:afterAutospacing="0" w:line="360" w:lineRule="auto"/>
              <w:ind w:left="0" w:right="0"/>
              <w:rPr>
                <w:rFonts w:hint="default" w:ascii="Times New Roman" w:hAnsi="Times New Roman" w:eastAsia="华文楷体" w:cs="Times New Roman"/>
                <w:bCs/>
                <w:szCs w:val="21"/>
              </w:rPr>
            </w:pPr>
            <w:r>
              <w:rPr>
                <w:rFonts w:hint="default" w:ascii="Times New Roman" w:hAnsi="Times New Roman" w:eastAsia="华文楷体" w:cs="Times New Roman"/>
                <w:bCs/>
                <w:szCs w:val="21"/>
              </w:rPr>
              <w:t>Gender</w:t>
            </w:r>
          </w:p>
        </w:tc>
        <w:tc>
          <w:tcPr>
            <w:tcW w:w="1701" w:type="dxa"/>
            <w:noWrap w:val="0"/>
            <w:vAlign w:val="center"/>
          </w:tcPr>
          <w:p w14:paraId="57507B9F">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Male</w:t>
            </w:r>
          </w:p>
        </w:tc>
        <w:tc>
          <w:tcPr>
            <w:tcW w:w="1417" w:type="dxa"/>
            <w:noWrap w:val="0"/>
            <w:vAlign w:val="center"/>
          </w:tcPr>
          <w:p w14:paraId="02B588D6">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46</w:t>
            </w:r>
          </w:p>
        </w:tc>
        <w:tc>
          <w:tcPr>
            <w:tcW w:w="1559" w:type="dxa"/>
            <w:noWrap w:val="0"/>
            <w:vAlign w:val="center"/>
          </w:tcPr>
          <w:p w14:paraId="3ED899B3">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22</w:t>
            </w:r>
          </w:p>
        </w:tc>
        <w:tc>
          <w:tcPr>
            <w:tcW w:w="851" w:type="dxa"/>
            <w:vMerge w:val="restart"/>
            <w:noWrap w:val="0"/>
            <w:vAlign w:val="center"/>
          </w:tcPr>
          <w:p w14:paraId="7FC60D21">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0.774</w:t>
            </w:r>
          </w:p>
        </w:tc>
        <w:tc>
          <w:tcPr>
            <w:tcW w:w="757" w:type="dxa"/>
            <w:vMerge w:val="restart"/>
            <w:noWrap w:val="0"/>
            <w:vAlign w:val="center"/>
          </w:tcPr>
          <w:p w14:paraId="3C7C6183">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0.379</w:t>
            </w:r>
          </w:p>
        </w:tc>
      </w:tr>
      <w:tr w14:paraId="5BF9BE0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Merge w:val="continue"/>
            <w:noWrap w:val="0"/>
            <w:vAlign w:val="center"/>
          </w:tcPr>
          <w:p w14:paraId="151A15DE">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p>
        </w:tc>
        <w:tc>
          <w:tcPr>
            <w:tcW w:w="1701" w:type="dxa"/>
            <w:noWrap w:val="0"/>
            <w:vAlign w:val="center"/>
          </w:tcPr>
          <w:p w14:paraId="483015F2">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Female</w:t>
            </w:r>
          </w:p>
        </w:tc>
        <w:tc>
          <w:tcPr>
            <w:tcW w:w="1417" w:type="dxa"/>
            <w:noWrap w:val="0"/>
            <w:vAlign w:val="center"/>
          </w:tcPr>
          <w:p w14:paraId="5DF0317C">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20</w:t>
            </w:r>
          </w:p>
        </w:tc>
        <w:tc>
          <w:tcPr>
            <w:tcW w:w="1559" w:type="dxa"/>
            <w:noWrap w:val="0"/>
            <w:vAlign w:val="center"/>
          </w:tcPr>
          <w:p w14:paraId="41CBE5BB">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6</w:t>
            </w:r>
          </w:p>
        </w:tc>
        <w:tc>
          <w:tcPr>
            <w:tcW w:w="851" w:type="dxa"/>
            <w:vMerge w:val="continue"/>
            <w:noWrap w:val="0"/>
            <w:vAlign w:val="center"/>
          </w:tcPr>
          <w:p w14:paraId="5795759B">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p>
        </w:tc>
        <w:tc>
          <w:tcPr>
            <w:tcW w:w="757" w:type="dxa"/>
            <w:vMerge w:val="continue"/>
            <w:noWrap w:val="0"/>
            <w:vAlign w:val="center"/>
          </w:tcPr>
          <w:p w14:paraId="2493382A">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p>
        </w:tc>
      </w:tr>
      <w:tr w14:paraId="35ADC9B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36" w:type="dxa"/>
            <w:gridSpan w:val="2"/>
            <w:noWrap w:val="0"/>
            <w:vAlign w:val="center"/>
          </w:tcPr>
          <w:p w14:paraId="7A89EC69">
            <w:pPr>
              <w:keepNext w:val="0"/>
              <w:keepLines w:val="0"/>
              <w:suppressLineNumbers w:val="0"/>
              <w:spacing w:before="0" w:beforeAutospacing="0" w:after="0" w:afterAutospacing="0" w:line="360" w:lineRule="auto"/>
              <w:ind w:left="0" w:right="0"/>
              <w:rPr>
                <w:rFonts w:hint="default" w:ascii="Times New Roman" w:hAnsi="Times New Roman" w:eastAsia="华文楷体" w:cs="Times New Roman"/>
                <w:bCs/>
                <w:szCs w:val="21"/>
              </w:rPr>
            </w:pPr>
            <w:r>
              <w:rPr>
                <w:rFonts w:hint="default" w:ascii="Times New Roman" w:hAnsi="Times New Roman" w:eastAsia="华文楷体" w:cs="Times New Roman"/>
                <w:bCs/>
                <w:szCs w:val="21"/>
              </w:rPr>
              <w:t>BMI(Kg/m</w:t>
            </w:r>
            <w:r>
              <w:rPr>
                <w:rFonts w:hint="default" w:ascii="Times New Roman" w:hAnsi="Times New Roman" w:eastAsia="华文楷体" w:cs="Times New Roman"/>
                <w:bCs/>
                <w:szCs w:val="21"/>
                <w:vertAlign w:val="superscript"/>
              </w:rPr>
              <w:t>2</w:t>
            </w:r>
            <w:r>
              <w:rPr>
                <w:rFonts w:hint="default" w:ascii="Times New Roman" w:hAnsi="Times New Roman" w:eastAsia="华文楷体" w:cs="Times New Roman"/>
                <w:bCs/>
                <w:szCs w:val="21"/>
              </w:rPr>
              <w:t>)</w:t>
            </w:r>
          </w:p>
        </w:tc>
        <w:tc>
          <w:tcPr>
            <w:tcW w:w="1417" w:type="dxa"/>
            <w:noWrap w:val="0"/>
            <w:vAlign w:val="center"/>
          </w:tcPr>
          <w:p w14:paraId="1B686F01">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21.29</w:t>
            </w:r>
            <w:r>
              <w:rPr>
                <w:rFonts w:hint="default" w:ascii="Times New Roman" w:hAnsi="Times New Roman" w:eastAsia="宋体" w:cs="Times New Roman"/>
                <w:bCs/>
                <w:szCs w:val="21"/>
              </w:rPr>
              <w:t>±</w:t>
            </w:r>
            <w:r>
              <w:rPr>
                <w:rFonts w:hint="default" w:ascii="Times New Roman" w:hAnsi="Times New Roman" w:eastAsia="华文楷体" w:cs="Times New Roman"/>
                <w:bCs/>
                <w:szCs w:val="21"/>
              </w:rPr>
              <w:t>3.04</w:t>
            </w:r>
          </w:p>
        </w:tc>
        <w:tc>
          <w:tcPr>
            <w:tcW w:w="1559" w:type="dxa"/>
            <w:noWrap w:val="0"/>
            <w:vAlign w:val="center"/>
          </w:tcPr>
          <w:p w14:paraId="50CE6A2E">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21.74</w:t>
            </w:r>
            <w:r>
              <w:rPr>
                <w:rFonts w:hint="default" w:ascii="Times New Roman" w:hAnsi="Times New Roman" w:eastAsia="宋体" w:cs="Times New Roman"/>
                <w:bCs/>
                <w:szCs w:val="21"/>
              </w:rPr>
              <w:t>±</w:t>
            </w:r>
            <w:r>
              <w:rPr>
                <w:rFonts w:hint="default" w:ascii="Times New Roman" w:hAnsi="Times New Roman" w:eastAsia="华文楷体" w:cs="Times New Roman"/>
                <w:bCs/>
                <w:szCs w:val="21"/>
              </w:rPr>
              <w:t>2.93</w:t>
            </w:r>
          </w:p>
        </w:tc>
        <w:tc>
          <w:tcPr>
            <w:tcW w:w="851" w:type="dxa"/>
            <w:noWrap w:val="0"/>
            <w:vAlign w:val="center"/>
          </w:tcPr>
          <w:p w14:paraId="0F28A84A">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-0.655</w:t>
            </w:r>
          </w:p>
        </w:tc>
        <w:tc>
          <w:tcPr>
            <w:tcW w:w="757" w:type="dxa"/>
            <w:noWrap w:val="0"/>
            <w:vAlign w:val="center"/>
          </w:tcPr>
          <w:p w14:paraId="4EA4C532">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0.514</w:t>
            </w:r>
          </w:p>
        </w:tc>
      </w:tr>
      <w:tr w14:paraId="755488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36" w:type="dxa"/>
            <w:gridSpan w:val="2"/>
            <w:noWrap w:val="0"/>
            <w:vAlign w:val="center"/>
          </w:tcPr>
          <w:p w14:paraId="6BB2BF95">
            <w:pPr>
              <w:keepNext w:val="0"/>
              <w:keepLines w:val="0"/>
              <w:suppressLineNumbers w:val="0"/>
              <w:spacing w:before="0" w:beforeAutospacing="0" w:after="0" w:afterAutospacing="0" w:line="360" w:lineRule="auto"/>
              <w:ind w:left="0" w:right="0"/>
              <w:rPr>
                <w:rFonts w:hint="default" w:ascii="Times New Roman" w:hAnsi="Times New Roman" w:eastAsia="华文楷体" w:cs="Times New Roman"/>
                <w:bCs/>
                <w:szCs w:val="21"/>
              </w:rPr>
            </w:pPr>
            <w:r>
              <w:rPr>
                <w:rFonts w:hint="default" w:ascii="Times New Roman" w:hAnsi="Times New Roman" w:eastAsia="华文楷体" w:cs="Times New Roman"/>
                <w:bCs/>
                <w:szCs w:val="21"/>
              </w:rPr>
              <w:t>Preoperative Hemoglobin (g/L)</w:t>
            </w:r>
          </w:p>
        </w:tc>
        <w:tc>
          <w:tcPr>
            <w:tcW w:w="1417" w:type="dxa"/>
            <w:noWrap w:val="0"/>
            <w:vAlign w:val="center"/>
          </w:tcPr>
          <w:p w14:paraId="603B1E68">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123.98</w:t>
            </w:r>
            <w:r>
              <w:rPr>
                <w:rFonts w:hint="default" w:ascii="Times New Roman" w:hAnsi="Times New Roman" w:eastAsia="宋体" w:cs="Times New Roman"/>
                <w:bCs/>
                <w:szCs w:val="21"/>
              </w:rPr>
              <w:t>±18.87</w:t>
            </w:r>
          </w:p>
        </w:tc>
        <w:tc>
          <w:tcPr>
            <w:tcW w:w="1559" w:type="dxa"/>
            <w:noWrap w:val="0"/>
            <w:vAlign w:val="center"/>
          </w:tcPr>
          <w:p w14:paraId="288A9505">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129.89</w:t>
            </w:r>
            <w:r>
              <w:rPr>
                <w:rFonts w:hint="default" w:ascii="Times New Roman" w:hAnsi="Times New Roman" w:eastAsia="宋体" w:cs="Times New Roman"/>
                <w:bCs/>
                <w:szCs w:val="21"/>
              </w:rPr>
              <w:t>±26.69</w:t>
            </w:r>
          </w:p>
        </w:tc>
        <w:tc>
          <w:tcPr>
            <w:tcW w:w="851" w:type="dxa"/>
            <w:noWrap w:val="0"/>
            <w:vAlign w:val="center"/>
          </w:tcPr>
          <w:p w14:paraId="24B441AD">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-1.064</w:t>
            </w:r>
          </w:p>
        </w:tc>
        <w:tc>
          <w:tcPr>
            <w:tcW w:w="757" w:type="dxa"/>
            <w:noWrap w:val="0"/>
            <w:vAlign w:val="center"/>
          </w:tcPr>
          <w:p w14:paraId="7DA7243A">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0.294</w:t>
            </w:r>
          </w:p>
        </w:tc>
      </w:tr>
      <w:tr w14:paraId="3E29F0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936" w:type="dxa"/>
            <w:gridSpan w:val="2"/>
            <w:noWrap w:val="0"/>
            <w:vAlign w:val="center"/>
          </w:tcPr>
          <w:p w14:paraId="542FC70E">
            <w:pPr>
              <w:keepNext w:val="0"/>
              <w:keepLines w:val="0"/>
              <w:suppressLineNumbers w:val="0"/>
              <w:spacing w:before="0" w:beforeAutospacing="0" w:after="0" w:afterAutospacing="0" w:line="360" w:lineRule="auto"/>
              <w:ind w:left="0" w:right="0"/>
              <w:rPr>
                <w:rFonts w:hint="default" w:ascii="Times New Roman" w:hAnsi="Times New Roman" w:eastAsia="华文楷体" w:cs="Times New Roman"/>
                <w:bCs/>
                <w:szCs w:val="21"/>
              </w:rPr>
            </w:pPr>
            <w:r>
              <w:rPr>
                <w:rFonts w:hint="default" w:ascii="Times New Roman" w:hAnsi="Times New Roman" w:eastAsia="华文楷体" w:cs="Times New Roman"/>
                <w:bCs/>
                <w:szCs w:val="21"/>
              </w:rPr>
              <w:t>Preoperative Albumin (g/L)</w:t>
            </w:r>
          </w:p>
        </w:tc>
        <w:tc>
          <w:tcPr>
            <w:tcW w:w="1417" w:type="dxa"/>
            <w:noWrap w:val="0"/>
            <w:vAlign w:val="center"/>
          </w:tcPr>
          <w:p w14:paraId="1D507008">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41.49</w:t>
            </w:r>
            <w:r>
              <w:rPr>
                <w:rFonts w:hint="default" w:ascii="Times New Roman" w:hAnsi="Times New Roman" w:eastAsia="宋体" w:cs="Times New Roman"/>
                <w:bCs/>
                <w:szCs w:val="21"/>
              </w:rPr>
              <w:t>±4.27</w:t>
            </w:r>
          </w:p>
        </w:tc>
        <w:tc>
          <w:tcPr>
            <w:tcW w:w="1559" w:type="dxa"/>
            <w:noWrap w:val="0"/>
            <w:vAlign w:val="center"/>
          </w:tcPr>
          <w:p w14:paraId="40BC30C5">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43.02</w:t>
            </w:r>
            <w:r>
              <w:rPr>
                <w:rFonts w:hint="default" w:ascii="Times New Roman" w:hAnsi="Times New Roman" w:eastAsia="宋体" w:cs="Times New Roman"/>
                <w:bCs/>
                <w:szCs w:val="21"/>
              </w:rPr>
              <w:t>±6.27</w:t>
            </w:r>
          </w:p>
        </w:tc>
        <w:tc>
          <w:tcPr>
            <w:tcW w:w="851" w:type="dxa"/>
            <w:noWrap w:val="0"/>
            <w:vAlign w:val="center"/>
          </w:tcPr>
          <w:p w14:paraId="52E58B40">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-1.370</w:t>
            </w:r>
          </w:p>
        </w:tc>
        <w:tc>
          <w:tcPr>
            <w:tcW w:w="757" w:type="dxa"/>
            <w:noWrap w:val="0"/>
            <w:vAlign w:val="center"/>
          </w:tcPr>
          <w:p w14:paraId="4FA2A589">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0.174</w:t>
            </w:r>
          </w:p>
        </w:tc>
      </w:tr>
      <w:tr w14:paraId="248248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Merge w:val="restart"/>
            <w:noWrap w:val="0"/>
            <w:vAlign w:val="center"/>
          </w:tcPr>
          <w:p w14:paraId="786F045F">
            <w:pPr>
              <w:keepNext w:val="0"/>
              <w:keepLines w:val="0"/>
              <w:suppressLineNumbers w:val="0"/>
              <w:spacing w:before="0" w:beforeAutospacing="0" w:after="0" w:afterAutospacing="0" w:line="360" w:lineRule="auto"/>
              <w:ind w:left="0" w:right="0"/>
              <w:rPr>
                <w:rFonts w:hint="default" w:ascii="Times New Roman" w:hAnsi="Times New Roman" w:eastAsia="华文楷体" w:cs="Times New Roman"/>
                <w:bCs/>
                <w:szCs w:val="21"/>
              </w:rPr>
            </w:pPr>
            <w:r>
              <w:rPr>
                <w:rFonts w:hint="default" w:ascii="Times New Roman" w:hAnsi="Times New Roman" w:eastAsia="华文楷体" w:cs="Times New Roman"/>
                <w:bCs/>
                <w:szCs w:val="21"/>
              </w:rPr>
              <w:t>Tumor Size (cm)</w:t>
            </w:r>
          </w:p>
        </w:tc>
        <w:tc>
          <w:tcPr>
            <w:tcW w:w="1701" w:type="dxa"/>
            <w:noWrap w:val="0"/>
            <w:vAlign w:val="center"/>
          </w:tcPr>
          <w:p w14:paraId="5286AB8A">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≥5</w:t>
            </w:r>
          </w:p>
        </w:tc>
        <w:tc>
          <w:tcPr>
            <w:tcW w:w="1417" w:type="dxa"/>
            <w:noWrap w:val="0"/>
            <w:vAlign w:val="center"/>
          </w:tcPr>
          <w:p w14:paraId="3955DEB8">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23</w:t>
            </w:r>
          </w:p>
        </w:tc>
        <w:tc>
          <w:tcPr>
            <w:tcW w:w="1559" w:type="dxa"/>
            <w:noWrap w:val="0"/>
            <w:vAlign w:val="center"/>
          </w:tcPr>
          <w:p w14:paraId="72649AAF">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5</w:t>
            </w:r>
          </w:p>
        </w:tc>
        <w:tc>
          <w:tcPr>
            <w:tcW w:w="851" w:type="dxa"/>
            <w:vMerge w:val="restart"/>
            <w:noWrap w:val="0"/>
            <w:vAlign w:val="center"/>
          </w:tcPr>
          <w:p w14:paraId="4EFB6471">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2.714</w:t>
            </w:r>
          </w:p>
        </w:tc>
        <w:tc>
          <w:tcPr>
            <w:tcW w:w="757" w:type="dxa"/>
            <w:vMerge w:val="restart"/>
            <w:noWrap w:val="0"/>
            <w:vAlign w:val="center"/>
          </w:tcPr>
          <w:p w14:paraId="0040DD07">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0.099</w:t>
            </w:r>
          </w:p>
        </w:tc>
      </w:tr>
      <w:tr w14:paraId="0A3B37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Merge w:val="continue"/>
            <w:noWrap w:val="0"/>
            <w:vAlign w:val="center"/>
          </w:tcPr>
          <w:p w14:paraId="63D641C9">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p>
        </w:tc>
        <w:tc>
          <w:tcPr>
            <w:tcW w:w="1701" w:type="dxa"/>
            <w:noWrap w:val="0"/>
            <w:vAlign w:val="center"/>
          </w:tcPr>
          <w:p w14:paraId="11A5BD47">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&lt;5</w:t>
            </w:r>
          </w:p>
        </w:tc>
        <w:tc>
          <w:tcPr>
            <w:tcW w:w="1417" w:type="dxa"/>
            <w:noWrap w:val="0"/>
            <w:vAlign w:val="center"/>
          </w:tcPr>
          <w:p w14:paraId="7378E090">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43</w:t>
            </w:r>
          </w:p>
        </w:tc>
        <w:tc>
          <w:tcPr>
            <w:tcW w:w="1559" w:type="dxa"/>
            <w:noWrap w:val="0"/>
            <w:vAlign w:val="center"/>
          </w:tcPr>
          <w:p w14:paraId="5C0DF971">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23</w:t>
            </w:r>
          </w:p>
        </w:tc>
        <w:tc>
          <w:tcPr>
            <w:tcW w:w="851" w:type="dxa"/>
            <w:vMerge w:val="continue"/>
            <w:noWrap w:val="0"/>
            <w:vAlign w:val="center"/>
          </w:tcPr>
          <w:p w14:paraId="184F345D">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p>
        </w:tc>
        <w:tc>
          <w:tcPr>
            <w:tcW w:w="757" w:type="dxa"/>
            <w:vMerge w:val="continue"/>
            <w:noWrap w:val="0"/>
            <w:vAlign w:val="center"/>
          </w:tcPr>
          <w:p w14:paraId="33DA478F">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p>
        </w:tc>
      </w:tr>
      <w:tr w14:paraId="050ED78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Merge w:val="restart"/>
            <w:noWrap w:val="0"/>
            <w:vAlign w:val="center"/>
          </w:tcPr>
          <w:p w14:paraId="46983ADE">
            <w:pPr>
              <w:keepNext w:val="0"/>
              <w:keepLines w:val="0"/>
              <w:suppressLineNumbers w:val="0"/>
              <w:spacing w:before="0" w:beforeAutospacing="0" w:after="0" w:afterAutospacing="0" w:line="360" w:lineRule="auto"/>
              <w:ind w:left="0" w:right="0"/>
              <w:rPr>
                <w:rFonts w:hint="default" w:ascii="Times New Roman" w:hAnsi="Times New Roman" w:eastAsia="华文楷体" w:cs="Times New Roman"/>
                <w:bCs/>
                <w:szCs w:val="21"/>
              </w:rPr>
            </w:pPr>
            <w:r>
              <w:rPr>
                <w:rFonts w:hint="default" w:ascii="Times New Roman" w:hAnsi="Times New Roman" w:eastAsia="华文楷体" w:cs="Times New Roman"/>
                <w:bCs/>
                <w:szCs w:val="21"/>
              </w:rPr>
              <w:t>Invasion Depth</w:t>
            </w:r>
          </w:p>
        </w:tc>
        <w:tc>
          <w:tcPr>
            <w:tcW w:w="1701" w:type="dxa"/>
            <w:noWrap w:val="0"/>
            <w:vAlign w:val="center"/>
          </w:tcPr>
          <w:p w14:paraId="58165874">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T1+T2</w:t>
            </w:r>
          </w:p>
        </w:tc>
        <w:tc>
          <w:tcPr>
            <w:tcW w:w="1417" w:type="dxa"/>
            <w:noWrap w:val="0"/>
            <w:vAlign w:val="center"/>
          </w:tcPr>
          <w:p w14:paraId="3BD2DD70">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13</w:t>
            </w:r>
          </w:p>
        </w:tc>
        <w:tc>
          <w:tcPr>
            <w:tcW w:w="1559" w:type="dxa"/>
            <w:noWrap w:val="0"/>
            <w:vAlign w:val="center"/>
          </w:tcPr>
          <w:p w14:paraId="1C2EC911">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18</w:t>
            </w:r>
          </w:p>
        </w:tc>
        <w:tc>
          <w:tcPr>
            <w:tcW w:w="851" w:type="dxa"/>
            <w:vMerge w:val="restart"/>
            <w:noWrap w:val="0"/>
            <w:vAlign w:val="center"/>
          </w:tcPr>
          <w:p w14:paraId="651AA755">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17.684</w:t>
            </w:r>
          </w:p>
        </w:tc>
        <w:tc>
          <w:tcPr>
            <w:tcW w:w="757" w:type="dxa"/>
            <w:vMerge w:val="restart"/>
            <w:noWrap w:val="0"/>
            <w:vAlign w:val="center"/>
          </w:tcPr>
          <w:p w14:paraId="57903CED">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0.001</w:t>
            </w:r>
          </w:p>
        </w:tc>
      </w:tr>
      <w:tr w14:paraId="277969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Merge w:val="continue"/>
            <w:noWrap w:val="0"/>
            <w:vAlign w:val="center"/>
          </w:tcPr>
          <w:p w14:paraId="46D88766">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p>
        </w:tc>
        <w:tc>
          <w:tcPr>
            <w:tcW w:w="1701" w:type="dxa"/>
            <w:noWrap w:val="0"/>
            <w:vAlign w:val="center"/>
          </w:tcPr>
          <w:p w14:paraId="59EE3546">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T3+T4</w:t>
            </w:r>
          </w:p>
        </w:tc>
        <w:tc>
          <w:tcPr>
            <w:tcW w:w="1417" w:type="dxa"/>
            <w:noWrap w:val="0"/>
            <w:vAlign w:val="center"/>
          </w:tcPr>
          <w:p w14:paraId="32FA3556">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53</w:t>
            </w:r>
          </w:p>
        </w:tc>
        <w:tc>
          <w:tcPr>
            <w:tcW w:w="1559" w:type="dxa"/>
            <w:noWrap w:val="0"/>
            <w:vAlign w:val="center"/>
          </w:tcPr>
          <w:p w14:paraId="1CC7E6EA">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10</w:t>
            </w:r>
          </w:p>
        </w:tc>
        <w:tc>
          <w:tcPr>
            <w:tcW w:w="851" w:type="dxa"/>
            <w:vMerge w:val="continue"/>
            <w:noWrap w:val="0"/>
            <w:vAlign w:val="center"/>
          </w:tcPr>
          <w:p w14:paraId="44C26E54">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p>
        </w:tc>
        <w:tc>
          <w:tcPr>
            <w:tcW w:w="757" w:type="dxa"/>
            <w:vMerge w:val="continue"/>
            <w:noWrap w:val="0"/>
            <w:vAlign w:val="center"/>
          </w:tcPr>
          <w:p w14:paraId="36000D51">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p>
        </w:tc>
      </w:tr>
      <w:tr w14:paraId="25871C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Merge w:val="restart"/>
            <w:noWrap w:val="0"/>
            <w:vAlign w:val="center"/>
          </w:tcPr>
          <w:p w14:paraId="72EDD8D1">
            <w:pPr>
              <w:keepNext w:val="0"/>
              <w:keepLines w:val="0"/>
              <w:suppressLineNumbers w:val="0"/>
              <w:spacing w:before="0" w:beforeAutospacing="0" w:after="0" w:afterAutospacing="0" w:line="360" w:lineRule="auto"/>
              <w:ind w:left="0" w:right="0"/>
              <w:rPr>
                <w:rFonts w:hint="default" w:ascii="Times New Roman" w:hAnsi="Times New Roman" w:eastAsia="华文楷体" w:cs="Times New Roman"/>
                <w:bCs/>
                <w:szCs w:val="21"/>
              </w:rPr>
            </w:pPr>
            <w:r>
              <w:rPr>
                <w:rFonts w:hint="default" w:ascii="Times New Roman" w:hAnsi="Times New Roman" w:eastAsia="华文楷体" w:cs="Times New Roman"/>
                <w:bCs/>
                <w:szCs w:val="21"/>
              </w:rPr>
              <w:t>Lymph Node Metastasis</w:t>
            </w:r>
          </w:p>
        </w:tc>
        <w:tc>
          <w:tcPr>
            <w:tcW w:w="1701" w:type="dxa"/>
            <w:noWrap w:val="0"/>
            <w:vAlign w:val="center"/>
          </w:tcPr>
          <w:p w14:paraId="690014D1">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Yes</w:t>
            </w:r>
          </w:p>
        </w:tc>
        <w:tc>
          <w:tcPr>
            <w:tcW w:w="1417" w:type="dxa"/>
            <w:noWrap w:val="0"/>
            <w:vAlign w:val="center"/>
          </w:tcPr>
          <w:p w14:paraId="0C3FD547">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50</w:t>
            </w:r>
          </w:p>
        </w:tc>
        <w:tc>
          <w:tcPr>
            <w:tcW w:w="1559" w:type="dxa"/>
            <w:noWrap w:val="0"/>
            <w:vAlign w:val="center"/>
          </w:tcPr>
          <w:p w14:paraId="4540C473">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7</w:t>
            </w:r>
          </w:p>
        </w:tc>
        <w:tc>
          <w:tcPr>
            <w:tcW w:w="851" w:type="dxa"/>
            <w:vMerge w:val="restart"/>
            <w:noWrap w:val="0"/>
            <w:vAlign w:val="center"/>
          </w:tcPr>
          <w:p w14:paraId="5CB1ECFC">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21.220</w:t>
            </w:r>
          </w:p>
        </w:tc>
        <w:tc>
          <w:tcPr>
            <w:tcW w:w="757" w:type="dxa"/>
            <w:vMerge w:val="restart"/>
            <w:noWrap w:val="0"/>
            <w:vAlign w:val="center"/>
          </w:tcPr>
          <w:p w14:paraId="02530F07">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0.001</w:t>
            </w:r>
          </w:p>
        </w:tc>
      </w:tr>
      <w:tr w14:paraId="723006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Merge w:val="continue"/>
            <w:noWrap w:val="0"/>
            <w:vAlign w:val="center"/>
          </w:tcPr>
          <w:p w14:paraId="6CB4A567">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p>
        </w:tc>
        <w:tc>
          <w:tcPr>
            <w:tcW w:w="1701" w:type="dxa"/>
            <w:noWrap w:val="0"/>
            <w:vAlign w:val="center"/>
          </w:tcPr>
          <w:p w14:paraId="51962896">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No</w:t>
            </w:r>
          </w:p>
        </w:tc>
        <w:tc>
          <w:tcPr>
            <w:tcW w:w="1417" w:type="dxa"/>
            <w:noWrap w:val="0"/>
            <w:vAlign w:val="center"/>
          </w:tcPr>
          <w:p w14:paraId="157722A2">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16</w:t>
            </w:r>
          </w:p>
        </w:tc>
        <w:tc>
          <w:tcPr>
            <w:tcW w:w="1559" w:type="dxa"/>
            <w:noWrap w:val="0"/>
            <w:vAlign w:val="center"/>
          </w:tcPr>
          <w:p w14:paraId="0F663D1D">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21</w:t>
            </w:r>
          </w:p>
        </w:tc>
        <w:tc>
          <w:tcPr>
            <w:tcW w:w="851" w:type="dxa"/>
            <w:vMerge w:val="continue"/>
            <w:noWrap w:val="0"/>
            <w:vAlign w:val="center"/>
          </w:tcPr>
          <w:p w14:paraId="0B586DE8">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p>
        </w:tc>
        <w:tc>
          <w:tcPr>
            <w:tcW w:w="757" w:type="dxa"/>
            <w:vMerge w:val="continue"/>
            <w:noWrap w:val="0"/>
            <w:vAlign w:val="center"/>
          </w:tcPr>
          <w:p w14:paraId="7CA39763">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p>
        </w:tc>
      </w:tr>
      <w:tr w14:paraId="560FF3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Merge w:val="restart"/>
            <w:noWrap w:val="0"/>
            <w:vAlign w:val="center"/>
          </w:tcPr>
          <w:p w14:paraId="6A370C3D">
            <w:pPr>
              <w:keepNext w:val="0"/>
              <w:keepLines w:val="0"/>
              <w:suppressLineNumbers w:val="0"/>
              <w:spacing w:before="0" w:beforeAutospacing="0" w:after="0" w:afterAutospacing="0" w:line="360" w:lineRule="auto"/>
              <w:ind w:left="0" w:right="0"/>
              <w:rPr>
                <w:rFonts w:hint="default" w:ascii="Times New Roman" w:hAnsi="Times New Roman" w:eastAsia="华文楷体" w:cs="Times New Roman"/>
                <w:bCs/>
                <w:szCs w:val="21"/>
              </w:rPr>
            </w:pPr>
            <w:r>
              <w:rPr>
                <w:rFonts w:hint="default" w:ascii="Times New Roman" w:hAnsi="Times New Roman" w:eastAsia="华文楷体" w:cs="Times New Roman"/>
                <w:bCs/>
                <w:szCs w:val="21"/>
              </w:rPr>
              <w:t>Vascular Invasion</w:t>
            </w:r>
          </w:p>
        </w:tc>
        <w:tc>
          <w:tcPr>
            <w:tcW w:w="1701" w:type="dxa"/>
            <w:noWrap w:val="0"/>
            <w:vAlign w:val="center"/>
          </w:tcPr>
          <w:p w14:paraId="0D0280F6">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Yes</w:t>
            </w:r>
          </w:p>
        </w:tc>
        <w:tc>
          <w:tcPr>
            <w:tcW w:w="1417" w:type="dxa"/>
            <w:noWrap w:val="0"/>
            <w:vAlign w:val="center"/>
          </w:tcPr>
          <w:p w14:paraId="0CAFDCDD">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33</w:t>
            </w:r>
          </w:p>
        </w:tc>
        <w:tc>
          <w:tcPr>
            <w:tcW w:w="1559" w:type="dxa"/>
            <w:noWrap w:val="0"/>
            <w:vAlign w:val="center"/>
          </w:tcPr>
          <w:p w14:paraId="5C7DCD97">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5</w:t>
            </w:r>
          </w:p>
        </w:tc>
        <w:tc>
          <w:tcPr>
            <w:tcW w:w="851" w:type="dxa"/>
            <w:vMerge w:val="restart"/>
            <w:noWrap w:val="0"/>
            <w:vAlign w:val="center"/>
          </w:tcPr>
          <w:p w14:paraId="48EAE17C">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8.434</w:t>
            </w:r>
          </w:p>
        </w:tc>
        <w:tc>
          <w:tcPr>
            <w:tcW w:w="757" w:type="dxa"/>
            <w:vMerge w:val="restart"/>
            <w:noWrap w:val="0"/>
            <w:vAlign w:val="center"/>
          </w:tcPr>
          <w:p w14:paraId="5615111D">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0.004</w:t>
            </w:r>
          </w:p>
        </w:tc>
      </w:tr>
      <w:tr w14:paraId="3E9C8A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Merge w:val="continue"/>
            <w:noWrap w:val="0"/>
            <w:vAlign w:val="center"/>
          </w:tcPr>
          <w:p w14:paraId="5EA44A3A">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p>
        </w:tc>
        <w:tc>
          <w:tcPr>
            <w:tcW w:w="1701" w:type="dxa"/>
            <w:noWrap w:val="0"/>
            <w:vAlign w:val="center"/>
          </w:tcPr>
          <w:p w14:paraId="72B53EFD">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No</w:t>
            </w:r>
          </w:p>
        </w:tc>
        <w:tc>
          <w:tcPr>
            <w:tcW w:w="1417" w:type="dxa"/>
            <w:noWrap w:val="0"/>
            <w:vAlign w:val="center"/>
          </w:tcPr>
          <w:p w14:paraId="60107E2F">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33</w:t>
            </w:r>
          </w:p>
        </w:tc>
        <w:tc>
          <w:tcPr>
            <w:tcW w:w="1559" w:type="dxa"/>
            <w:noWrap w:val="0"/>
            <w:vAlign w:val="center"/>
          </w:tcPr>
          <w:p w14:paraId="7E50F360">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23</w:t>
            </w:r>
          </w:p>
        </w:tc>
        <w:tc>
          <w:tcPr>
            <w:tcW w:w="851" w:type="dxa"/>
            <w:vMerge w:val="continue"/>
            <w:noWrap w:val="0"/>
            <w:vAlign w:val="center"/>
          </w:tcPr>
          <w:p w14:paraId="57FEC2B1">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p>
        </w:tc>
        <w:tc>
          <w:tcPr>
            <w:tcW w:w="757" w:type="dxa"/>
            <w:vMerge w:val="continue"/>
            <w:noWrap w:val="0"/>
            <w:vAlign w:val="center"/>
          </w:tcPr>
          <w:p w14:paraId="7219B339">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p>
        </w:tc>
      </w:tr>
      <w:tr w14:paraId="4F1AEC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Merge w:val="restart"/>
            <w:noWrap w:val="0"/>
            <w:vAlign w:val="center"/>
          </w:tcPr>
          <w:p w14:paraId="2896622B">
            <w:pPr>
              <w:keepNext w:val="0"/>
              <w:keepLines w:val="0"/>
              <w:suppressLineNumbers w:val="0"/>
              <w:spacing w:before="0" w:beforeAutospacing="0" w:after="0" w:afterAutospacing="0" w:line="360" w:lineRule="auto"/>
              <w:ind w:left="0" w:right="0"/>
              <w:rPr>
                <w:rFonts w:hint="default" w:ascii="Times New Roman" w:hAnsi="Times New Roman" w:eastAsia="华文楷体" w:cs="Times New Roman"/>
                <w:bCs/>
                <w:szCs w:val="21"/>
              </w:rPr>
            </w:pPr>
            <w:r>
              <w:rPr>
                <w:rFonts w:hint="default" w:ascii="Times New Roman" w:hAnsi="Times New Roman" w:eastAsia="华文楷体" w:cs="Times New Roman"/>
                <w:bCs/>
                <w:szCs w:val="21"/>
              </w:rPr>
              <w:t>Neural Invasion</w:t>
            </w:r>
          </w:p>
        </w:tc>
        <w:tc>
          <w:tcPr>
            <w:tcW w:w="1701" w:type="dxa"/>
            <w:noWrap w:val="0"/>
            <w:vAlign w:val="center"/>
          </w:tcPr>
          <w:p w14:paraId="7631C9F2">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Yes</w:t>
            </w:r>
          </w:p>
        </w:tc>
        <w:tc>
          <w:tcPr>
            <w:tcW w:w="1417" w:type="dxa"/>
            <w:noWrap w:val="0"/>
            <w:vAlign w:val="center"/>
          </w:tcPr>
          <w:p w14:paraId="15EE1F54">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46</w:t>
            </w:r>
          </w:p>
        </w:tc>
        <w:tc>
          <w:tcPr>
            <w:tcW w:w="1559" w:type="dxa"/>
            <w:noWrap w:val="0"/>
            <w:vAlign w:val="center"/>
          </w:tcPr>
          <w:p w14:paraId="6B01F9C2">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8</w:t>
            </w:r>
          </w:p>
        </w:tc>
        <w:tc>
          <w:tcPr>
            <w:tcW w:w="851" w:type="dxa"/>
            <w:vMerge w:val="restart"/>
            <w:noWrap w:val="0"/>
            <w:vAlign w:val="center"/>
          </w:tcPr>
          <w:p w14:paraId="54CB0F2E">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13.602</w:t>
            </w:r>
          </w:p>
        </w:tc>
        <w:tc>
          <w:tcPr>
            <w:tcW w:w="757" w:type="dxa"/>
            <w:vMerge w:val="restart"/>
            <w:noWrap w:val="0"/>
            <w:vAlign w:val="center"/>
          </w:tcPr>
          <w:p w14:paraId="0C24569F">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0.001</w:t>
            </w:r>
          </w:p>
        </w:tc>
      </w:tr>
      <w:tr w14:paraId="059FBD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Merge w:val="continue"/>
            <w:noWrap w:val="0"/>
            <w:vAlign w:val="center"/>
          </w:tcPr>
          <w:p w14:paraId="760B7F3F">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p>
        </w:tc>
        <w:tc>
          <w:tcPr>
            <w:tcW w:w="1701" w:type="dxa"/>
            <w:noWrap w:val="0"/>
            <w:vAlign w:val="center"/>
          </w:tcPr>
          <w:p w14:paraId="5C9740EB">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No</w:t>
            </w:r>
          </w:p>
        </w:tc>
        <w:tc>
          <w:tcPr>
            <w:tcW w:w="1417" w:type="dxa"/>
            <w:noWrap w:val="0"/>
            <w:vAlign w:val="center"/>
          </w:tcPr>
          <w:p w14:paraId="6E42FB94">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20</w:t>
            </w:r>
          </w:p>
        </w:tc>
        <w:tc>
          <w:tcPr>
            <w:tcW w:w="1559" w:type="dxa"/>
            <w:noWrap w:val="0"/>
            <w:vAlign w:val="center"/>
          </w:tcPr>
          <w:p w14:paraId="31E1D1B5">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20</w:t>
            </w:r>
          </w:p>
        </w:tc>
        <w:tc>
          <w:tcPr>
            <w:tcW w:w="851" w:type="dxa"/>
            <w:vMerge w:val="continue"/>
            <w:noWrap w:val="0"/>
            <w:vAlign w:val="center"/>
          </w:tcPr>
          <w:p w14:paraId="428A0881">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p>
        </w:tc>
        <w:tc>
          <w:tcPr>
            <w:tcW w:w="757" w:type="dxa"/>
            <w:vMerge w:val="continue"/>
            <w:noWrap w:val="0"/>
            <w:vAlign w:val="center"/>
          </w:tcPr>
          <w:p w14:paraId="6C2A4816">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p>
        </w:tc>
      </w:tr>
      <w:tr w14:paraId="7D06E7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Merge w:val="restart"/>
            <w:noWrap w:val="0"/>
            <w:vAlign w:val="center"/>
          </w:tcPr>
          <w:p w14:paraId="35F7D5EA">
            <w:pPr>
              <w:keepNext w:val="0"/>
              <w:keepLines w:val="0"/>
              <w:suppressLineNumbers w:val="0"/>
              <w:spacing w:before="0" w:beforeAutospacing="0" w:after="0" w:afterAutospacing="0" w:line="360" w:lineRule="auto"/>
              <w:ind w:left="0" w:right="0"/>
              <w:rPr>
                <w:rFonts w:hint="default" w:ascii="Times New Roman" w:hAnsi="Times New Roman" w:eastAsia="华文楷体" w:cs="Times New Roman"/>
                <w:bCs/>
                <w:szCs w:val="21"/>
              </w:rPr>
            </w:pPr>
            <w:r>
              <w:rPr>
                <w:rFonts w:hint="default" w:ascii="Times New Roman" w:hAnsi="Times New Roman" w:eastAsia="华文楷体" w:cs="Times New Roman"/>
                <w:bCs/>
                <w:szCs w:val="21"/>
              </w:rPr>
              <w:t>Differentiation Degree</w:t>
            </w:r>
          </w:p>
        </w:tc>
        <w:tc>
          <w:tcPr>
            <w:tcW w:w="1701" w:type="dxa"/>
            <w:noWrap w:val="0"/>
            <w:vAlign w:val="center"/>
          </w:tcPr>
          <w:p w14:paraId="639045F2">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moderately /well</w:t>
            </w:r>
          </w:p>
        </w:tc>
        <w:tc>
          <w:tcPr>
            <w:tcW w:w="1417" w:type="dxa"/>
            <w:noWrap w:val="0"/>
            <w:vAlign w:val="center"/>
          </w:tcPr>
          <w:p w14:paraId="660A3DC0">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37</w:t>
            </w:r>
          </w:p>
        </w:tc>
        <w:tc>
          <w:tcPr>
            <w:tcW w:w="1559" w:type="dxa"/>
            <w:noWrap w:val="0"/>
            <w:vAlign w:val="center"/>
          </w:tcPr>
          <w:p w14:paraId="7F31FF34">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17</w:t>
            </w:r>
          </w:p>
        </w:tc>
        <w:tc>
          <w:tcPr>
            <w:tcW w:w="851" w:type="dxa"/>
            <w:vMerge w:val="restart"/>
            <w:noWrap w:val="0"/>
            <w:vAlign w:val="center"/>
          </w:tcPr>
          <w:p w14:paraId="6A66141F">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0.174</w:t>
            </w:r>
          </w:p>
        </w:tc>
        <w:tc>
          <w:tcPr>
            <w:tcW w:w="757" w:type="dxa"/>
            <w:vMerge w:val="restart"/>
            <w:noWrap w:val="0"/>
            <w:vAlign w:val="center"/>
          </w:tcPr>
          <w:p w14:paraId="05C2EF14">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0.676</w:t>
            </w:r>
          </w:p>
        </w:tc>
      </w:tr>
      <w:tr w14:paraId="6DDFD6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235" w:type="dxa"/>
            <w:vMerge w:val="continue"/>
            <w:noWrap w:val="0"/>
            <w:vAlign w:val="center"/>
          </w:tcPr>
          <w:p w14:paraId="1DD88BAF">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p>
        </w:tc>
        <w:tc>
          <w:tcPr>
            <w:tcW w:w="1701" w:type="dxa"/>
            <w:noWrap w:val="0"/>
            <w:vAlign w:val="center"/>
          </w:tcPr>
          <w:p w14:paraId="459BBD6F">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poorly</w:t>
            </w:r>
          </w:p>
        </w:tc>
        <w:tc>
          <w:tcPr>
            <w:tcW w:w="1417" w:type="dxa"/>
            <w:noWrap w:val="0"/>
            <w:vAlign w:val="center"/>
          </w:tcPr>
          <w:p w14:paraId="20F4ED8C">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29</w:t>
            </w:r>
          </w:p>
        </w:tc>
        <w:tc>
          <w:tcPr>
            <w:tcW w:w="1559" w:type="dxa"/>
            <w:noWrap w:val="0"/>
            <w:vAlign w:val="center"/>
          </w:tcPr>
          <w:p w14:paraId="0DA307B1">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r>
              <w:rPr>
                <w:rFonts w:hint="default" w:ascii="Times New Roman" w:hAnsi="Times New Roman" w:eastAsia="华文楷体" w:cs="Times New Roman"/>
                <w:bCs/>
                <w:szCs w:val="21"/>
              </w:rPr>
              <w:t>11</w:t>
            </w:r>
          </w:p>
        </w:tc>
        <w:tc>
          <w:tcPr>
            <w:tcW w:w="851" w:type="dxa"/>
            <w:vMerge w:val="continue"/>
            <w:noWrap w:val="0"/>
            <w:vAlign w:val="center"/>
          </w:tcPr>
          <w:p w14:paraId="3F75DF37">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p>
        </w:tc>
        <w:tc>
          <w:tcPr>
            <w:tcW w:w="757" w:type="dxa"/>
            <w:vMerge w:val="continue"/>
            <w:noWrap w:val="0"/>
            <w:vAlign w:val="center"/>
          </w:tcPr>
          <w:p w14:paraId="012719DB">
            <w:pPr>
              <w:keepNext w:val="0"/>
              <w:keepLines w:val="0"/>
              <w:suppressLineNumbers w:val="0"/>
              <w:spacing w:before="0" w:beforeAutospacing="0" w:after="0" w:afterAutospacing="0" w:line="360" w:lineRule="auto"/>
              <w:ind w:left="0" w:right="0"/>
              <w:jc w:val="center"/>
              <w:rPr>
                <w:rFonts w:hint="default" w:ascii="Times New Roman" w:hAnsi="Times New Roman" w:eastAsia="华文楷体" w:cs="Times New Roman"/>
                <w:bCs/>
                <w:szCs w:val="21"/>
              </w:rPr>
            </w:pPr>
          </w:p>
        </w:tc>
      </w:tr>
    </w:tbl>
    <w:p w14:paraId="7A0CA55A">
      <w:pPr>
        <w:rPr>
          <w:rFonts w:hint="eastAsia" w:ascii="Times New Roman" w:hAnsi="Times New Roman" w:cs="Times New Roman"/>
          <w:sz w:val="28"/>
          <w:szCs w:val="28"/>
          <w:lang w:eastAsia="zh-CN"/>
        </w:rPr>
      </w:pPr>
      <w:r>
        <w:rPr>
          <w:rFonts w:ascii="Times New Roman" w:hAnsi="Times New Roman" w:cs="Times New Roman"/>
          <w:b/>
          <w:sz w:val="28"/>
          <w:szCs w:val="28"/>
        </w:rPr>
        <w:t xml:space="preserve">Notes: </w:t>
      </w:r>
      <w:r>
        <w:rPr>
          <w:rFonts w:ascii="Times New Roman" w:hAnsi="Times New Roman" w:cs="Times New Roman"/>
          <w:sz w:val="28"/>
          <w:szCs w:val="28"/>
        </w:rPr>
        <w:t>Categorical data were expressed as proportions (%), and the chi-square test (χ² test) was used for analysis. Continuous data were expressed as mean ± standard deviation (x̄ ± s), and the t-test was applied. A P-value of less than 0.05 (</w:t>
      </w:r>
      <w:r>
        <w:rPr>
          <w:rFonts w:ascii="Times New Roman" w:hAnsi="Times New Roman" w:cs="Times New Roman"/>
          <w:i/>
          <w:sz w:val="28"/>
          <w:szCs w:val="28"/>
        </w:rPr>
        <w:t>P</w:t>
      </w:r>
      <w:r>
        <w:rPr>
          <w:rFonts w:ascii="Times New Roman" w:hAnsi="Times New Roman" w:cs="Times New Roman"/>
          <w:sz w:val="28"/>
          <w:szCs w:val="28"/>
        </w:rPr>
        <w:t xml:space="preserve"> &lt; 0.05) was considered statistically significant.</w:t>
      </w:r>
      <w:bookmarkStart w:id="2" w:name="_GoBack"/>
      <w:bookmarkEnd w:id="2"/>
    </w:p>
    <w:sectPr>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36B9A"/>
    <w:rsid w:val="191A4F3D"/>
    <w:rsid w:val="2553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2026-05-25T13:28:00Z</dcterms:created>
  <dc:creator>Dr du</dc:creator>
  <cp:lastModifiedBy>Dr du</cp:lastModifiedBy>
  <dcterms:modified xsi:type="dcterms:W3CDTF">2026-05-25T13:33:46Z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BAF864ABAD244119AD978445313E6C3A_11</vt:lpwstr>
  </property>
  <property fmtid="{D5CDD505-2E9C-101B-9397-08002B2CF9AE}" pid="4" name="KSOTemplateDocerSaveRecord">
    <vt:lpwstr>eyJoZGlkIjoiYjgyOGQyODI3NTAyMDJjYmRjZmFkZWE1NDI5Y2Q4NDIiLCJ1c2VySWQiOiIyMDkyOTc5NTYifQ==</vt:lpwstr>
  </property>
</Properties>
</file>