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BE5C" w14:textId="77777777" w:rsidR="004A147B" w:rsidRPr="004C5BDB" w:rsidRDefault="004A147B" w:rsidP="004A147B">
      <w:pPr>
        <w:spacing w:line="360" w:lineRule="auto"/>
        <w:jc w:val="both"/>
        <w:rPr>
          <w:b/>
          <w:bCs/>
          <w:color w:val="000000" w:themeColor="text1"/>
        </w:rPr>
      </w:pPr>
      <w:r w:rsidRPr="004C5BDB">
        <w:rPr>
          <w:b/>
          <w:bCs/>
          <w:color w:val="000000" w:themeColor="text1"/>
        </w:rPr>
        <w:t>CARE Checklist</w:t>
      </w:r>
    </w:p>
    <w:tbl>
      <w:tblPr>
        <w:tblStyle w:val="PlainTable2"/>
        <w:tblW w:w="9360" w:type="dxa"/>
        <w:tblLook w:val="0000" w:firstRow="0" w:lastRow="0" w:firstColumn="0" w:lastColumn="0" w:noHBand="0" w:noVBand="0"/>
      </w:tblPr>
      <w:tblGrid>
        <w:gridCol w:w="2200"/>
        <w:gridCol w:w="7160"/>
      </w:tblGrid>
      <w:tr w:rsidR="004A147B" w14:paraId="6CAEED18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2"/>
          </w:tcPr>
          <w:p w14:paraId="5412B4CD" w14:textId="77777777" w:rsidR="004A147B" w:rsidRDefault="004A147B" w:rsidP="001F6CB8"/>
        </w:tc>
      </w:tr>
      <w:tr w:rsidR="004A147B" w14:paraId="544EE218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0" w:type="dxa"/>
          </w:tcPr>
          <w:p w14:paraId="0DCA9CA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Title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60" w:type="dxa"/>
          </w:tcPr>
          <w:p w14:paraId="30E8213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Heparin-Associated, Sustained Hospital-Acquired Hyperkalemia: The Forgotten Culprit in the Inpatient Setting? A Case Report with Review of the Literature</w:t>
            </w:r>
          </w:p>
        </w:tc>
      </w:tr>
      <w:tr w:rsidR="004A147B" w14:paraId="0C429A6F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0" w:type="dxa"/>
          </w:tcPr>
          <w:p w14:paraId="7144858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Authors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60" w:type="dxa"/>
          </w:tcPr>
          <w:p w14:paraId="6CC2E7C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Marios Prikis, Kanza Haq</w:t>
            </w:r>
          </w:p>
        </w:tc>
      </w:tr>
      <w:tr w:rsidR="004A147B" w14:paraId="41F6F23A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0" w:type="dxa"/>
          </w:tcPr>
          <w:p w14:paraId="722B3F6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Journal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60" w:type="dxa"/>
          </w:tcPr>
          <w:p w14:paraId="002C63A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Journal of Medical Case Reports</w:t>
            </w:r>
          </w:p>
        </w:tc>
      </w:tr>
      <w:tr w:rsidR="004A147B" w14:paraId="0E813BD9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0" w:type="dxa"/>
          </w:tcPr>
          <w:p w14:paraId="39B773A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Article Type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60" w:type="dxa"/>
          </w:tcPr>
          <w:p w14:paraId="4DDC10E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Case Report</w:t>
            </w:r>
          </w:p>
        </w:tc>
      </w:tr>
    </w:tbl>
    <w:p w14:paraId="0EE1A3B7" w14:textId="77777777" w:rsidR="004A147B" w:rsidRDefault="004A147B" w:rsidP="004A147B">
      <w:pPr>
        <w:spacing w:before="240" w:after="120"/>
      </w:pPr>
    </w:p>
    <w:tbl>
      <w:tblPr>
        <w:tblStyle w:val="PlainTable2"/>
        <w:tblW w:w="9360" w:type="dxa"/>
        <w:tblLook w:val="0000" w:firstRow="0" w:lastRow="0" w:firstColumn="0" w:lastColumn="0" w:noHBand="0" w:noVBand="0"/>
      </w:tblPr>
      <w:tblGrid>
        <w:gridCol w:w="616"/>
        <w:gridCol w:w="1659"/>
        <w:gridCol w:w="3440"/>
        <w:gridCol w:w="1824"/>
        <w:gridCol w:w="1821"/>
      </w:tblGrid>
      <w:tr w:rsidR="004A147B" w:rsidRPr="004C5BDB" w14:paraId="2C08D0D2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01525995" w14:textId="77777777" w:rsidR="004A147B" w:rsidRPr="004C5BDB" w:rsidRDefault="004A147B" w:rsidP="001F6CB8">
            <w:pPr>
              <w:jc w:val="center"/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Item #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4F436226" w14:textId="77777777" w:rsidR="004A147B" w:rsidRPr="004C5BDB" w:rsidRDefault="004A147B" w:rsidP="001F6CB8">
            <w:pPr>
              <w:jc w:val="center"/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67192E69" w14:textId="77777777" w:rsidR="004A147B" w:rsidRPr="004C5BDB" w:rsidRDefault="004A147B" w:rsidP="001F6CB8">
            <w:pPr>
              <w:jc w:val="center"/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Description / Manuscript Content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4C1658F2" w14:textId="77777777" w:rsidR="004A147B" w:rsidRPr="004C5BDB" w:rsidRDefault="004A147B" w:rsidP="001F6CB8">
            <w:pPr>
              <w:jc w:val="center"/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Line 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105F1DD9" w14:textId="77777777" w:rsidR="004A147B" w:rsidRPr="004C5BDB" w:rsidRDefault="004A147B" w:rsidP="001F6CB8">
            <w:pPr>
              <w:jc w:val="center"/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Reported?</w:t>
            </w:r>
          </w:p>
        </w:tc>
      </w:tr>
      <w:tr w:rsidR="004A147B" w:rsidRPr="004C5BDB" w14:paraId="4F4C4645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693FCA99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TITLE &amp; ABSTRACT</w:t>
            </w:r>
          </w:p>
        </w:tc>
      </w:tr>
      <w:tr w:rsidR="004A147B" w:rsidRPr="004C5BDB" w14:paraId="7B3BCF54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3C30941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2EAF0E9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Title — identifies as a case 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0CCF08C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Manuscript title: "Heparin-Associated, Sustained Hospital-Acquired Hyperkalemia: The Forgotten Culprit in the Inpatient Setting? A Case Report with Review of the Literature" </w:t>
            </w:r>
            <w:r w:rsidRPr="004C5BDB">
              <w:rPr>
                <w:color w:val="000000" w:themeColor="text1"/>
                <w:sz w:val="18"/>
                <w:szCs w:val="18"/>
              </w:rPr>
              <w:sym w:font="Wingdings" w:char="F0E0"/>
            </w:r>
            <w:r w:rsidRPr="004C5BDB">
              <w:rPr>
                <w:color w:val="000000" w:themeColor="text1"/>
                <w:sz w:val="18"/>
                <w:szCs w:val="18"/>
              </w:rPr>
              <w:t xml:space="preserve"> clearly identifies the article type.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7D9078E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A7C3CF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7D6613F4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408DD68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1C6BF38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Keywords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746B416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Keywords provided: heparin; hyperkalemia; hypoaldosteronism; aldosterone; drug-induced hyperkalemia; DVT prophylaxis; transtubular potassium gradient; fludrocortisone; inpatient.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51B852A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747827F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37604A60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5018855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</w:rPr>
              <w:t>3a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57BFD3F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 xml:space="preserve">Abstract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753271A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Structured abstract includes: Background (mechanism and clinical relevance of HIH), Case Presentation (35-year-old male, peak K+ 6.6 mEq/L, TTKG 4.0, heparin timeline, resolution with fondaparinux and fludrocortisone), and Conclusions (HIH is underdiagnosed; maintain high index of suspicion).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2B3F213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9–21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FE9CCB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Reported</w:t>
            </w:r>
          </w:p>
        </w:tc>
      </w:tr>
      <w:tr w:rsidR="004A147B" w:rsidRPr="004C5BDB" w14:paraId="425450A4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041204F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INTRODUCTION</w:t>
            </w:r>
          </w:p>
        </w:tc>
      </w:tr>
      <w:tr w:rsidR="004A147B" w:rsidRPr="004C5BDB" w14:paraId="1456CDF3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37A67B2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3b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08D0076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Patient's main concerns and symptoms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2FB99C2B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Patient presented with 3 days of abdominal pain and constipation leading to emergency exploratory laparotomy. New-onset sustained refractory hyperkalemia (peak 6.6 mEq/L) was the main concern prompting nephrology consultation on day 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7EA8E09A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68–72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FBD82F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6D86ED73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612792E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3c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463CA26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Medical, family, and psychosocial history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1F2E4EF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Past medical history: Crohn's disease, prior right hemicolectomy, substance use disorder. Medications prior to admission: bupropion, suboxone, hydroxyzine, probiotics, budesonide (discontinued ~1 month prior). No history of kidney disease, diabetes, or adrenal disease. No family or detailed psychosocial history relevant to the pharmacological adverse event.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4E98FB0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63–67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5DE3217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4993EC01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6C50493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3d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5F15A74F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Relevant past interventions and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5CC063E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Prior right hemicolectomy for Crohn's disease. Chronic budesonide use with abrupt cessation ~1 month before admission (relevant to adrenal axis suppression). No prior episodes of hyperkalemia documented.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5BC6805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63–66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6935A1FA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6D335148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4AD1C9B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CLINICAL FINDINGS</w:t>
            </w:r>
          </w:p>
        </w:tc>
      </w:tr>
      <w:tr w:rsidR="004A147B" w:rsidRPr="004C5BDB" w14:paraId="1689D7A5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64C22A0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07D2ED3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Physical examination findings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41E22F7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Physical examination findings not detailed in this case report; the report focuses on laboratory and electrocardiographic data. Relevant clinical finding: stable postoperative course with adequate urine </w:t>
            </w:r>
            <w:r w:rsidRPr="004C5BDB">
              <w:rPr>
                <w:color w:val="000000" w:themeColor="text1"/>
                <w:sz w:val="18"/>
                <w:szCs w:val="18"/>
              </w:rPr>
              <w:lastRenderedPageBreak/>
              <w:t>output. Not applicable as primary diagnostic evidence was biochemical.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1D42D63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lastRenderedPageBreak/>
              <w:t>Lines 68–87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8201555" w14:textId="77777777" w:rsidR="004A147B" w:rsidRPr="004C5BDB" w:rsidRDefault="004A147B" w:rsidP="001F6CB8">
            <w:pPr>
              <w:rPr>
                <w:color w:val="000000" w:themeColor="text1"/>
                <w:sz w:val="18"/>
                <w:szCs w:val="18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N/A </w:t>
            </w:r>
            <w:r w:rsidRPr="004C5BDB">
              <w:rPr>
                <w:color w:val="000000" w:themeColor="text1"/>
                <w:sz w:val="18"/>
                <w:szCs w:val="18"/>
              </w:rPr>
              <w:sym w:font="Wingdings" w:char="F0E0"/>
            </w:r>
            <w:r w:rsidRPr="004C5BDB">
              <w:rPr>
                <w:color w:val="000000" w:themeColor="text1"/>
                <w:sz w:val="18"/>
                <w:szCs w:val="18"/>
              </w:rPr>
              <w:t xml:space="preserve"> diagnosis based on biochemical/temporal evidence. </w:t>
            </w:r>
          </w:p>
          <w:p w14:paraId="71DF173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exam not contributory</w:t>
            </w:r>
          </w:p>
        </w:tc>
      </w:tr>
      <w:tr w:rsidR="004A147B" w:rsidRPr="004C5BDB" w14:paraId="68591A31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41229FC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TIMELINE</w:t>
            </w:r>
          </w:p>
        </w:tc>
      </w:tr>
      <w:tr w:rsidR="004A147B" w:rsidRPr="004C5BDB" w14:paraId="2D792331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3D4EB5C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0FA03CF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Important dates and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114F362F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Detailed timeline provided: admission day (K+ 3.2 mEq/L); peri-operative heparin initiation; postoperative day 2 transition to enoxaparin; day 4 (K+ 5.3 mEq/L); days 5–7 progressive rise; day 7 peak K+ 6.6 mEq/L and nephrology consultation; heparin discontinued and fondaparinux/fludrocortisone initiated; K+ normalized over 5 days; discharge with K+ 4.2 mEq/L. Figure 1 depicts the full timeline graphically.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26DE5EE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72-87, Figure 1 legend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3BEA7AE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30B4AD40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1B47E8A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DIAGNOSTIC ASSESSMENT</w:t>
            </w:r>
          </w:p>
        </w:tc>
      </w:tr>
      <w:tr w:rsidR="004A147B" w:rsidRPr="004C5BDB" w14:paraId="4BE748C0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1E6749A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6a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7B80E6C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Diagnostic methods (exam, laboratory, imaging)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1B23389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Laboratory values on admission and throughout admission reported in detail. ECG performed and described (peaked T waves, shortened QT 0.324s). TTKG calculated at two timepoints (4.0 at consultation; 4.6 two days after heparin cessation). Serum cortisol measured to exclude primary adrenal insufficiency. Platelet count monitored to exclude pseudohyperkalemia from thrombocytosis.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313EC4E9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72-103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5014E02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71E14800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02DEC3C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6b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3709242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Diagnostic challenges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74BBA50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Pseudohyperkalemia from reactive thrombocytosis (platelets 833 K/cmm) was considered and excluded by ECG changes and subsequent normalization with targeted treatment despite persistently elevated platelets. Pharmacy medication reconciliation failed to identify heparin as a cause. Prior treatment with calcium gluconate and insulin-dextrose was unsuccessful. Diagnosis established via temporal correlation, low TTKG, and exclusion of other causes.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5DB6363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87-103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324A927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34E6E94C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6A941C5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6c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4F10F91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Differential diagnosis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593006D9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Differential diagnoses addressed: pseudohyperkalemia (excluded), primary adrenal insufficiency/glucocorticoid deficiency (cortisol normal), renal failure (creatinine stable at 0.78 mg/dL), thyroid disease (not clinically suspected; recent normal tests), other pharmacological causes (pharmacy reconciliation negative). Mineralocorticoid deficiency from heparin-induced hypoaldosteronism was the diagnosis.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22838E79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87-103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BFD710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65E78BF9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1990DFD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THERAPEUTIC INTERVENTION</w:t>
            </w:r>
          </w:p>
        </w:tc>
      </w:tr>
      <w:tr w:rsidR="004A147B" w:rsidRPr="004C5BDB" w14:paraId="0D5BE9BD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7EF1C5F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1C4588C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Interventions (types, dosing, duration)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329C01BF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Three interventions described: 1. Heparin discontinued; replaced with fondaparinux (alternative anticoagulant). 2. Fludrocortisone 0.2 mg loading dose, then 0.1 mg daily × 2 days (mineralocorticoid replacement). 3. Furosemide 80 mg IV × 2 consecutive days (enhance urinary potassium excretion). Prior unsuccessful interventions: calcium gluconate IV, insulin-dextrose infusion, dietary potassium restriction.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25FBC79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103-112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4725B9F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3DDB7D18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1A22A33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FOLLOW-UP AND OUTCOMES</w:t>
            </w:r>
          </w:p>
        </w:tc>
      </w:tr>
      <w:tr w:rsidR="004A147B" w:rsidRPr="004C5BDB" w14:paraId="499A6A6D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285AE9F2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42CDB5CA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Clinician- and patient-assessed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68C3EE2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Serum potassium ranged 3.9–5.5 mEq/L over the 5 days following intervention. Repeat TTKG 4.6 at day 2 post-heparin cessation (incomplete reversal). Discharged with K+ 4.2 mEq/L, creatinine 0.65 mg/dL, sodium 133 mEq/L, platelets 775 K/cmm. Outpatient plan: oral steroid taper and initiation of adalimumab for Crohn's disease.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3F94645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112-120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3AD99E4B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2D670260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43F1C6D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DISCUSSION</w:t>
            </w:r>
          </w:p>
        </w:tc>
      </w:tr>
      <w:tr w:rsidR="004A147B" w:rsidRPr="004C5BDB" w14:paraId="06087B9B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63D2DA8A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2B16CCC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Discussion of strengths and limitations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24BAD6A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Strengths: detailed biochemical workup; use of TTKG as diagnostic adjunct; careful medication timeline review; comprehensive literature comparison (Table 1). Limitations acknowledged implicitly: aldosterone and renin levels not measured (TTKG used as surrogate); single case report limits generalizability; exact contribution of budesonide cessation to adrenal suppression is hypothetical. The Discussion addresses these contextually.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2ECA38F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122-185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1EF7085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rFonts w:ascii="Apple Color Emoji" w:hAnsi="Apple Color Emoji" w:cs="Apple Color Emoji"/>
                <w:color w:val="000000" w:themeColor="text1"/>
                <w:sz w:val="18"/>
                <w:szCs w:val="18"/>
              </w:rPr>
              <w:t>✔</w:t>
            </w:r>
            <w:r w:rsidRPr="004C5BDB">
              <w:rPr>
                <w:color w:val="000000" w:themeColor="text1"/>
                <w:sz w:val="18"/>
                <w:szCs w:val="18"/>
              </w:rPr>
              <w:t>Reported</w:t>
            </w:r>
          </w:p>
        </w:tc>
      </w:tr>
      <w:tr w:rsidR="004A147B" w:rsidRPr="004C5BDB" w14:paraId="75AD3181" w14:textId="77777777" w:rsidTr="001F6CB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0E7A960B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0FDAE85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Rationale for conclusions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5C0FD18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Conclusions supported by: (1) temporal correlation between heparin initiation and potassium rise; (2) TTKG of 4.0 confirming mineralocorticoid deficiency; (3) normal cortisol excluding primary adrenal insufficiency; (4) resolution after heparin cessation and fludrocortisone; (5) extensive literature review including Singh et al. 2025 (40-yr systematic review), Naseralallah et al. 2024 (929 patients), and multiple case reports.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65E6214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122-185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4897769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Reported</w:t>
            </w:r>
          </w:p>
        </w:tc>
      </w:tr>
      <w:tr w:rsidR="004A147B" w:rsidRPr="004C5BDB" w14:paraId="01879838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105119FA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125E45E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Primary "take-away" lessons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45AC0CE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Key lessons stated explicitly in Conclusion: (1) HIH can occur in young patients without classic risk factors (DM, CKD); (2) TTKG is a useful non-invasive diagnostic tool; (3) medication timeline review is essential; (4) heparin cessation + mineralocorticoid replacement is effective; (5) HIH is underdiagnosed and should be in the differential of any unexplained inpatient hyperkalemia.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7477C1EC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Lines 187-205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315769EE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  <w:tr w:rsidR="004A147B" w:rsidRPr="004C5BDB" w14:paraId="4C130443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49E75E2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PATIENT PERSPECTIVE</w:t>
            </w:r>
          </w:p>
        </w:tc>
      </w:tr>
      <w:tr w:rsidR="004A147B" w:rsidRPr="004C5BDB" w14:paraId="5B224671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10974F5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17CB7DA5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Patient perspective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749FEFE4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A formal patient perspective section is not included. The patient provided written informed consent for publication. No direct patient-reported outcome section is present in this manuscript.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36C2EC93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6EFA88DC" w14:textId="77777777" w:rsidR="004A147B" w:rsidRPr="004C5BDB" w:rsidRDefault="004A147B" w:rsidP="001F6CB8">
            <w:pPr>
              <w:rPr>
                <w:color w:val="000000" w:themeColor="text1"/>
                <w:sz w:val="18"/>
                <w:szCs w:val="18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N/A </w:t>
            </w:r>
            <w:r w:rsidRPr="004C5BDB">
              <w:rPr>
                <w:color w:val="000000" w:themeColor="text1"/>
                <w:sz w:val="18"/>
                <w:szCs w:val="18"/>
              </w:rPr>
              <w:sym w:font="Wingdings" w:char="F0E8"/>
            </w:r>
            <w:r w:rsidRPr="004C5BDB">
              <w:rPr>
                <w:color w:val="000000" w:themeColor="text1"/>
                <w:sz w:val="18"/>
                <w:szCs w:val="18"/>
              </w:rPr>
              <w:t xml:space="preserve"> not included </w:t>
            </w:r>
          </w:p>
          <w:p w14:paraId="1C614860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patient provided consent for publication</w:t>
            </w:r>
          </w:p>
        </w:tc>
      </w:tr>
      <w:tr w:rsidR="004A147B" w:rsidRPr="004C5BDB" w14:paraId="789A9FBA" w14:textId="77777777" w:rsidTr="001F6CB8">
        <w:trPr>
          <w:gridAfter w:val="1"/>
          <w:wAfter w:w="1850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14:paraId="4CF54666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</w:rPr>
              <w:t>INFORMED CONSENT</w:t>
            </w:r>
          </w:p>
        </w:tc>
      </w:tr>
      <w:tr w:rsidR="004A147B" w:rsidRPr="004C5BDB" w14:paraId="011D5591" w14:textId="77777777" w:rsidTr="001F6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dxa"/>
          </w:tcPr>
          <w:p w14:paraId="5EEE9941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00" w:type="dxa"/>
          </w:tcPr>
          <w:p w14:paraId="027A4808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b/>
                <w:bCs/>
                <w:color w:val="000000" w:themeColor="text1"/>
                <w:sz w:val="18"/>
                <w:szCs w:val="18"/>
              </w:rPr>
              <w:t>Informed consent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</w:tcPr>
          <w:p w14:paraId="282A0039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Written informed consent was obtained from the patient for publication of this case report and any accompanying images. A copy of the written consent is available for review by the Editor-in-Chief of this journal. Consent statement included in the Declarations section of the manuscript.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0" w:type="dxa"/>
          </w:tcPr>
          <w:p w14:paraId="6E574FB7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>Declarations section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0" w:type="dxa"/>
          </w:tcPr>
          <w:p w14:paraId="269A1B7D" w14:textId="77777777" w:rsidR="004A147B" w:rsidRPr="004C5BDB" w:rsidRDefault="004A147B" w:rsidP="001F6CB8">
            <w:pPr>
              <w:rPr>
                <w:color w:val="000000" w:themeColor="text1"/>
              </w:rPr>
            </w:pPr>
            <w:r w:rsidRPr="004C5BDB">
              <w:rPr>
                <w:color w:val="000000" w:themeColor="text1"/>
                <w:sz w:val="18"/>
                <w:szCs w:val="18"/>
              </w:rPr>
              <w:t xml:space="preserve"> Reported</w:t>
            </w:r>
          </w:p>
        </w:tc>
      </w:tr>
    </w:tbl>
    <w:p w14:paraId="5D685645" w14:textId="77777777" w:rsidR="004A147B" w:rsidRDefault="004A147B" w:rsidP="004A147B">
      <w:pPr>
        <w:spacing w:before="60" w:after="60"/>
      </w:pPr>
    </w:p>
    <w:p w14:paraId="06C2708F" w14:textId="77777777" w:rsidR="004A147B" w:rsidRDefault="004A147B" w:rsidP="004A147B">
      <w:pPr>
        <w:spacing w:before="280" w:after="140" w:line="360" w:lineRule="auto"/>
        <w:jc w:val="both"/>
      </w:pPr>
    </w:p>
    <w:p w14:paraId="6C64D492" w14:textId="77777777" w:rsidR="00E023F9" w:rsidRDefault="00E023F9"/>
    <w:sectPr w:rsidR="00E023F9" w:rsidSect="004A1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7B"/>
    <w:rsid w:val="000C4033"/>
    <w:rsid w:val="00173ED8"/>
    <w:rsid w:val="001B524C"/>
    <w:rsid w:val="002F50B1"/>
    <w:rsid w:val="004A147B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C617"/>
  <w15:chartTrackingRefBased/>
  <w15:docId w15:val="{DB5DD9E2-78F7-450C-86AD-A490081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7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4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4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4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4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4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4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4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4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4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4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4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4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1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4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1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47B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4A147B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2026-07-06T12:40:00Z</dcterms:created>
  <dcterms:modified xsi:type="dcterms:W3CDTF">2026-07-06T12:40:00Z</dcterms:modified>
</cp:coreProperties>
</file>