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Annex F.a:</w:t>
      </w:r>
      <w:r w:rsidDel="00000000" w:rsidR="00000000" w:rsidRPr="00000000">
        <w:rPr>
          <w:rtl w:val="0"/>
        </w:rPr>
        <w:t xml:space="preserve"> Nurse-assigned acuity distribution of encounters at the Central Point of Assessment.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Count (N = 2,000)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10.65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37.1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38.25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13.95</w:t>
            </w:r>
          </w:p>
        </w:tc>
      </w:tr>
    </w:tbl>
    <w:p w:rsidR="00000000" w:rsidDel="00000000" w:rsidP="00000000" w:rsidRDefault="00000000" w:rsidRPr="00000000" w14:paraId="00000014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Annex F.b:</w:t>
      </w:r>
      <w:r w:rsidDel="00000000" w:rsidR="00000000" w:rsidRPr="00000000">
        <w:rPr>
          <w:rtl w:val="0"/>
        </w:rPr>
        <w:t xml:space="preserve"> Nurse-assigned sectoral allocation at the Central Point of Assessment.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Count (N = 2,000)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68.25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UCP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31.75</w:t>
            </w:r>
          </w:p>
        </w:tc>
      </w:tr>
    </w:tbl>
    <w:p w:rsidR="00000000" w:rsidDel="00000000" w:rsidP="00000000" w:rsidRDefault="00000000" w:rsidRPr="00000000" w14:paraId="0000001F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Annex F.c:</w:t>
      </w:r>
      <w:r w:rsidDel="00000000" w:rsidR="00000000" w:rsidRPr="00000000">
        <w:rPr>
          <w:rtl w:val="0"/>
        </w:rPr>
        <w:t xml:space="preserve"> Distribution of the 20 most common chief complaints at the Central Point of Assessment.</w:t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Chief Complaint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CEDIS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Count (N = 2,000)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%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Lower extremity pain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8.3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Abdominal Pain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8.3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Upper extremity pain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554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7.05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Backpain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Influenza-like illness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Upper respiratory infection symptoms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Upper extremity injury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556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Chest pain - cardiac features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2.75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Headache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2.65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Laceration/Puncture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Dental/gum problem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UTI complaints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Lower extremity injury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Sore throat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Neck swelling/pain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Shortness of breath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1.75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Localized swelling/redness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1.75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Chest pain - non-cardiac features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Fever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Nausea and/or vomiting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Other 105 complaints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36</w:t>
            </w:r>
          </w:p>
        </w:tc>
      </w:tr>
    </w:tbl>
    <w:p w:rsidR="00000000" w:rsidDel="00000000" w:rsidP="00000000" w:rsidRDefault="00000000" w:rsidRPr="00000000" w14:paraId="00000079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60" w:line="36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Annex F.d:</w:t>
      </w:r>
      <w:r w:rsidDel="00000000" w:rsidR="00000000" w:rsidRPr="00000000">
        <w:rPr>
          <w:rtl w:val="0"/>
        </w:rPr>
        <w:t xml:space="preserve"> Distribution of available clinical domains of the ABCDE framework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(Thim et al. 2012)</w:t>
        </w:r>
      </w:hyperlink>
      <w:r w:rsidDel="00000000" w:rsidR="00000000" w:rsidRPr="00000000">
        <w:rPr>
          <w:rtl w:val="0"/>
        </w:rPr>
        <w:t xml:space="preserve"> from the Triage Report Card (Annex B).</w:t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Clinical Domain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Count available (of N = 2,000)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% available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Airway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1,104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55.2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Breathing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1,717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85.85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Circulation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1,758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87.9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Disability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Exposure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1,707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85.35</w:t>
            </w:r>
          </w:p>
        </w:tc>
      </w:tr>
    </w:tbl>
    <w:p w:rsidR="00000000" w:rsidDel="00000000" w:rsidP="00000000" w:rsidRDefault="00000000" w:rsidRPr="00000000" w14:paraId="0000008D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paperpile.com/c/ruy2MM/h0t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