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67D4F" w14:textId="77777777" w:rsidR="00DB55EA" w:rsidRPr="00DB55EA" w:rsidRDefault="00DB55EA" w:rsidP="00DB55EA">
      <w:pPr>
        <w:rPr>
          <w:b/>
          <w:u w:val="single"/>
          <w:lang w:val="en-US"/>
        </w:rPr>
      </w:pPr>
      <w:r w:rsidRPr="00DB55EA">
        <w:rPr>
          <w:b/>
          <w:u w:val="single"/>
          <w:lang w:val="en-US"/>
        </w:rPr>
        <w:t>Appendices</w:t>
      </w:r>
    </w:p>
    <w:p w14:paraId="05A22EE6" w14:textId="77777777" w:rsidR="00DB55EA" w:rsidRPr="00DB55EA" w:rsidRDefault="00DB55EA" w:rsidP="00DB55EA">
      <w:pPr>
        <w:rPr>
          <w:bCs/>
          <w:lang w:val="en-US"/>
        </w:rPr>
      </w:pPr>
      <w:r w:rsidRPr="00DB55EA">
        <w:rPr>
          <w:b/>
          <w:bCs/>
          <w:lang w:val="en-US"/>
        </w:rPr>
        <w:t>Appendix A. Documents Included in the Analytic Corpus</w:t>
      </w:r>
    </w:p>
    <w:p w14:paraId="39EDCFF3" w14:textId="77777777" w:rsidR="00DB55EA" w:rsidRPr="00DB55EA" w:rsidRDefault="00DB55EA" w:rsidP="00DB55EA">
      <w:pPr>
        <w:rPr>
          <w:bCs/>
          <w:lang w:val="en-US"/>
        </w:rPr>
      </w:pPr>
      <w:r w:rsidRPr="00DB55EA">
        <w:rPr>
          <w:lang w:val="en-US"/>
        </w:rPr>
        <w:t>This appendix summarizes the 14 documents included in the qualitative document analysis. Documents are grouped as policy-relevant texts (federal policy documents, guidance, and advocacy/professional analyses) and news media articles, consistent with the screening and eligibility procedures described in the Methods section.</w:t>
      </w:r>
      <w:r w:rsidRPr="00DB55EA">
        <w:rPr>
          <w:bCs/>
          <w:lang w:val="en-US"/>
        </w:rPr>
        <w:t xml:space="preserve"> For each document, the table reports the authoring organization and year, document title, document type, source or repository, and a brief description of its relevance to the study’s aim of examining how recent U.S. federal school meal policy developments are framed in relation to child hunger, health, and learning.</w:t>
      </w:r>
    </w:p>
    <w:p w14:paraId="734F5F10" w14:textId="77777777" w:rsidR="00DB55EA" w:rsidRPr="00DB55EA" w:rsidRDefault="00DB55EA" w:rsidP="00DB55EA">
      <w:pPr>
        <w:rPr>
          <w:lang w:val="en-US"/>
        </w:rPr>
      </w:pPr>
    </w:p>
    <w:tbl>
      <w:tblPr>
        <w:tblStyle w:val="TableGrid"/>
        <w:tblW w:w="0" w:type="auto"/>
        <w:tblLook w:val="04A0" w:firstRow="1" w:lastRow="0" w:firstColumn="1" w:lastColumn="0" w:noHBand="0" w:noVBand="1"/>
      </w:tblPr>
      <w:tblGrid>
        <w:gridCol w:w="1508"/>
        <w:gridCol w:w="2400"/>
        <w:gridCol w:w="1747"/>
        <w:gridCol w:w="1606"/>
        <w:gridCol w:w="1755"/>
      </w:tblGrid>
      <w:tr w:rsidR="00DB55EA" w:rsidRPr="00DB55EA" w14:paraId="7B8FEFF6" w14:textId="77777777">
        <w:tc>
          <w:tcPr>
            <w:tcW w:w="2448" w:type="dxa"/>
            <w:tcBorders>
              <w:top w:val="single" w:sz="4" w:space="0" w:color="auto"/>
              <w:left w:val="single" w:sz="4" w:space="0" w:color="auto"/>
              <w:bottom w:val="single" w:sz="4" w:space="0" w:color="auto"/>
              <w:right w:val="single" w:sz="4" w:space="0" w:color="auto"/>
            </w:tcBorders>
            <w:hideMark/>
          </w:tcPr>
          <w:p w14:paraId="46FED515" w14:textId="77777777" w:rsidR="00DB55EA" w:rsidRPr="00DB55EA" w:rsidRDefault="00DB55EA" w:rsidP="00DB55EA">
            <w:pPr>
              <w:spacing w:after="160" w:line="278" w:lineRule="auto"/>
              <w:rPr>
                <w:b/>
                <w:bCs/>
                <w:lang w:val="en-US"/>
              </w:rPr>
            </w:pPr>
            <w:r w:rsidRPr="00DB55EA">
              <w:rPr>
                <w:b/>
                <w:bCs/>
                <w:lang w:val="en-US"/>
              </w:rPr>
              <w:t>Author / Organization (Year)</w:t>
            </w:r>
          </w:p>
        </w:tc>
        <w:tc>
          <w:tcPr>
            <w:tcW w:w="2448" w:type="dxa"/>
            <w:tcBorders>
              <w:top w:val="single" w:sz="4" w:space="0" w:color="auto"/>
              <w:left w:val="single" w:sz="4" w:space="0" w:color="auto"/>
              <w:bottom w:val="single" w:sz="4" w:space="0" w:color="auto"/>
              <w:right w:val="single" w:sz="4" w:space="0" w:color="auto"/>
            </w:tcBorders>
            <w:hideMark/>
          </w:tcPr>
          <w:p w14:paraId="3941729A" w14:textId="77777777" w:rsidR="00DB55EA" w:rsidRPr="00DB55EA" w:rsidRDefault="00DB55EA" w:rsidP="00DB55EA">
            <w:pPr>
              <w:spacing w:after="160" w:line="278" w:lineRule="auto"/>
              <w:rPr>
                <w:b/>
                <w:bCs/>
                <w:lang w:val="en-US"/>
              </w:rPr>
            </w:pPr>
            <w:r w:rsidRPr="00DB55EA">
              <w:rPr>
                <w:b/>
                <w:bCs/>
                <w:lang w:val="en-US"/>
              </w:rPr>
              <w:t>Document Title / Description</w:t>
            </w:r>
          </w:p>
        </w:tc>
        <w:tc>
          <w:tcPr>
            <w:tcW w:w="2448" w:type="dxa"/>
            <w:tcBorders>
              <w:top w:val="single" w:sz="4" w:space="0" w:color="auto"/>
              <w:left w:val="single" w:sz="4" w:space="0" w:color="auto"/>
              <w:bottom w:val="single" w:sz="4" w:space="0" w:color="auto"/>
              <w:right w:val="single" w:sz="4" w:space="0" w:color="auto"/>
            </w:tcBorders>
            <w:hideMark/>
          </w:tcPr>
          <w:p w14:paraId="1ED64DF9" w14:textId="77777777" w:rsidR="00DB55EA" w:rsidRPr="00DB55EA" w:rsidRDefault="00DB55EA" w:rsidP="00DB55EA">
            <w:pPr>
              <w:spacing w:after="160" w:line="278" w:lineRule="auto"/>
              <w:rPr>
                <w:b/>
                <w:bCs/>
                <w:lang w:val="en-US"/>
              </w:rPr>
            </w:pPr>
            <w:r w:rsidRPr="00DB55EA">
              <w:rPr>
                <w:b/>
                <w:bCs/>
                <w:lang w:val="en-US"/>
              </w:rPr>
              <w:t>Document Type</w:t>
            </w:r>
          </w:p>
        </w:tc>
        <w:tc>
          <w:tcPr>
            <w:tcW w:w="2448" w:type="dxa"/>
            <w:tcBorders>
              <w:top w:val="single" w:sz="4" w:space="0" w:color="auto"/>
              <w:left w:val="single" w:sz="4" w:space="0" w:color="auto"/>
              <w:bottom w:val="single" w:sz="4" w:space="0" w:color="auto"/>
              <w:right w:val="single" w:sz="4" w:space="0" w:color="auto"/>
            </w:tcBorders>
            <w:hideMark/>
          </w:tcPr>
          <w:p w14:paraId="1E79FCA3" w14:textId="77777777" w:rsidR="00DB55EA" w:rsidRPr="00DB55EA" w:rsidRDefault="00DB55EA" w:rsidP="00DB55EA">
            <w:pPr>
              <w:spacing w:after="160" w:line="278" w:lineRule="auto"/>
              <w:rPr>
                <w:b/>
                <w:bCs/>
                <w:lang w:val="en-US"/>
              </w:rPr>
            </w:pPr>
            <w:r w:rsidRPr="00DB55EA">
              <w:rPr>
                <w:b/>
                <w:bCs/>
                <w:lang w:val="en-US"/>
              </w:rPr>
              <w:t>Source / Repository</w:t>
            </w:r>
          </w:p>
        </w:tc>
        <w:tc>
          <w:tcPr>
            <w:tcW w:w="2448" w:type="dxa"/>
            <w:tcBorders>
              <w:top w:val="single" w:sz="4" w:space="0" w:color="auto"/>
              <w:left w:val="single" w:sz="4" w:space="0" w:color="auto"/>
              <w:bottom w:val="single" w:sz="4" w:space="0" w:color="auto"/>
              <w:right w:val="single" w:sz="4" w:space="0" w:color="auto"/>
            </w:tcBorders>
            <w:hideMark/>
          </w:tcPr>
          <w:p w14:paraId="48DDAF03" w14:textId="77777777" w:rsidR="00DB55EA" w:rsidRPr="00DB55EA" w:rsidRDefault="00DB55EA" w:rsidP="00DB55EA">
            <w:pPr>
              <w:spacing w:after="160" w:line="278" w:lineRule="auto"/>
              <w:rPr>
                <w:b/>
                <w:bCs/>
                <w:lang w:val="en-US"/>
              </w:rPr>
            </w:pPr>
            <w:r w:rsidRPr="00DB55EA">
              <w:rPr>
                <w:b/>
                <w:bCs/>
                <w:lang w:val="en-US"/>
              </w:rPr>
              <w:t>Relevance to Study</w:t>
            </w:r>
          </w:p>
        </w:tc>
      </w:tr>
      <w:tr w:rsidR="00DB55EA" w:rsidRPr="00DB55EA" w14:paraId="615CBB52" w14:textId="77777777">
        <w:tc>
          <w:tcPr>
            <w:tcW w:w="2448" w:type="dxa"/>
            <w:tcBorders>
              <w:top w:val="single" w:sz="4" w:space="0" w:color="auto"/>
              <w:left w:val="single" w:sz="4" w:space="0" w:color="auto"/>
              <w:bottom w:val="single" w:sz="4" w:space="0" w:color="auto"/>
              <w:right w:val="single" w:sz="4" w:space="0" w:color="auto"/>
            </w:tcBorders>
            <w:hideMark/>
          </w:tcPr>
          <w:p w14:paraId="5BF5A375" w14:textId="77777777" w:rsidR="00DB55EA" w:rsidRPr="00DB55EA" w:rsidRDefault="00DB55EA" w:rsidP="00DB55EA">
            <w:pPr>
              <w:spacing w:after="160" w:line="278" w:lineRule="auto"/>
              <w:rPr>
                <w:lang w:val="en-US"/>
              </w:rPr>
            </w:pPr>
            <w:r w:rsidRPr="00DB55EA">
              <w:rPr>
                <w:lang w:val="en-US"/>
              </w:rPr>
              <w:t>U.S. Department of Agriculture (2023)</w:t>
            </w:r>
          </w:p>
        </w:tc>
        <w:tc>
          <w:tcPr>
            <w:tcW w:w="2448" w:type="dxa"/>
            <w:tcBorders>
              <w:top w:val="single" w:sz="4" w:space="0" w:color="auto"/>
              <w:left w:val="single" w:sz="4" w:space="0" w:color="auto"/>
              <w:bottom w:val="single" w:sz="4" w:space="0" w:color="auto"/>
              <w:right w:val="single" w:sz="4" w:space="0" w:color="auto"/>
            </w:tcBorders>
            <w:hideMark/>
          </w:tcPr>
          <w:p w14:paraId="798C9957" w14:textId="77777777" w:rsidR="00DB55EA" w:rsidRPr="00DB55EA" w:rsidRDefault="00DB55EA" w:rsidP="00DB55EA">
            <w:pPr>
              <w:spacing w:after="160" w:line="278" w:lineRule="auto"/>
              <w:rPr>
                <w:lang w:val="en-US"/>
              </w:rPr>
            </w:pPr>
            <w:r w:rsidRPr="00DB55EA">
              <w:rPr>
                <w:lang w:val="en-US"/>
              </w:rPr>
              <w:t>Community Eligibility Provision Final Rule (Identified Student Percentage reduced from 40% to 25%)</w:t>
            </w:r>
          </w:p>
        </w:tc>
        <w:tc>
          <w:tcPr>
            <w:tcW w:w="2448" w:type="dxa"/>
            <w:tcBorders>
              <w:top w:val="single" w:sz="4" w:space="0" w:color="auto"/>
              <w:left w:val="single" w:sz="4" w:space="0" w:color="auto"/>
              <w:bottom w:val="single" w:sz="4" w:space="0" w:color="auto"/>
              <w:right w:val="single" w:sz="4" w:space="0" w:color="auto"/>
            </w:tcBorders>
            <w:hideMark/>
          </w:tcPr>
          <w:p w14:paraId="21E396A5" w14:textId="77777777" w:rsidR="00DB55EA" w:rsidRPr="00DB55EA" w:rsidRDefault="00DB55EA" w:rsidP="00DB55EA">
            <w:pPr>
              <w:spacing w:after="160" w:line="278" w:lineRule="auto"/>
              <w:rPr>
                <w:lang w:val="en-US"/>
              </w:rPr>
            </w:pPr>
            <w:r w:rsidRPr="00DB55EA">
              <w:rPr>
                <w:lang w:val="en-US"/>
              </w:rPr>
              <w:t>Federal policy rule</w:t>
            </w:r>
          </w:p>
        </w:tc>
        <w:tc>
          <w:tcPr>
            <w:tcW w:w="2448" w:type="dxa"/>
            <w:tcBorders>
              <w:top w:val="single" w:sz="4" w:space="0" w:color="auto"/>
              <w:left w:val="single" w:sz="4" w:space="0" w:color="auto"/>
              <w:bottom w:val="single" w:sz="4" w:space="0" w:color="auto"/>
              <w:right w:val="single" w:sz="4" w:space="0" w:color="auto"/>
            </w:tcBorders>
            <w:hideMark/>
          </w:tcPr>
          <w:p w14:paraId="3316EB1E" w14:textId="77777777" w:rsidR="00DB55EA" w:rsidRPr="00DB55EA" w:rsidRDefault="00DB55EA" w:rsidP="00DB55EA">
            <w:pPr>
              <w:spacing w:after="160" w:line="278" w:lineRule="auto"/>
              <w:rPr>
                <w:lang w:val="en-US"/>
              </w:rPr>
            </w:pPr>
            <w:r w:rsidRPr="00DB55EA">
              <w:rPr>
                <w:lang w:val="en-US"/>
              </w:rPr>
              <w:t>USDA Food and Nutrition Service</w:t>
            </w:r>
          </w:p>
        </w:tc>
        <w:tc>
          <w:tcPr>
            <w:tcW w:w="2448" w:type="dxa"/>
            <w:tcBorders>
              <w:top w:val="single" w:sz="4" w:space="0" w:color="auto"/>
              <w:left w:val="single" w:sz="4" w:space="0" w:color="auto"/>
              <w:bottom w:val="single" w:sz="4" w:space="0" w:color="auto"/>
              <w:right w:val="single" w:sz="4" w:space="0" w:color="auto"/>
            </w:tcBorders>
            <w:hideMark/>
          </w:tcPr>
          <w:p w14:paraId="1146BA10" w14:textId="77777777" w:rsidR="00DB55EA" w:rsidRPr="00DB55EA" w:rsidRDefault="00DB55EA" w:rsidP="00DB55EA">
            <w:pPr>
              <w:spacing w:after="160" w:line="278" w:lineRule="auto"/>
              <w:rPr>
                <w:lang w:val="en-US"/>
              </w:rPr>
            </w:pPr>
            <w:r w:rsidRPr="00DB55EA">
              <w:rPr>
                <w:lang w:val="en-US"/>
              </w:rPr>
              <w:t>Establishes revised CEP eligibility thresholds central to analysis of universal meal access</w:t>
            </w:r>
          </w:p>
        </w:tc>
      </w:tr>
      <w:tr w:rsidR="00DB55EA" w:rsidRPr="00DB55EA" w14:paraId="51D68386" w14:textId="77777777">
        <w:tc>
          <w:tcPr>
            <w:tcW w:w="2448" w:type="dxa"/>
            <w:tcBorders>
              <w:top w:val="single" w:sz="4" w:space="0" w:color="auto"/>
              <w:left w:val="single" w:sz="4" w:space="0" w:color="auto"/>
              <w:bottom w:val="single" w:sz="4" w:space="0" w:color="auto"/>
              <w:right w:val="single" w:sz="4" w:space="0" w:color="auto"/>
            </w:tcBorders>
            <w:hideMark/>
          </w:tcPr>
          <w:p w14:paraId="3D8B2BE1" w14:textId="77777777" w:rsidR="00DB55EA" w:rsidRPr="00DB55EA" w:rsidRDefault="00DB55EA" w:rsidP="00DB55EA">
            <w:pPr>
              <w:spacing w:after="160" w:line="278" w:lineRule="auto"/>
              <w:rPr>
                <w:lang w:val="en-US"/>
              </w:rPr>
            </w:pPr>
            <w:r w:rsidRPr="00DB55EA">
              <w:rPr>
                <w:lang w:val="en-US"/>
              </w:rPr>
              <w:t>U.S. Department of Agriculture (2023–2024)</w:t>
            </w:r>
          </w:p>
        </w:tc>
        <w:tc>
          <w:tcPr>
            <w:tcW w:w="2448" w:type="dxa"/>
            <w:tcBorders>
              <w:top w:val="single" w:sz="4" w:space="0" w:color="auto"/>
              <w:left w:val="single" w:sz="4" w:space="0" w:color="auto"/>
              <w:bottom w:val="single" w:sz="4" w:space="0" w:color="auto"/>
              <w:right w:val="single" w:sz="4" w:space="0" w:color="auto"/>
            </w:tcBorders>
            <w:hideMark/>
          </w:tcPr>
          <w:p w14:paraId="1F1F3094" w14:textId="77777777" w:rsidR="00DB55EA" w:rsidRPr="00DB55EA" w:rsidRDefault="00DB55EA" w:rsidP="00DB55EA">
            <w:pPr>
              <w:spacing w:after="160" w:line="278" w:lineRule="auto"/>
              <w:rPr>
                <w:lang w:val="en-US"/>
              </w:rPr>
            </w:pPr>
            <w:r w:rsidRPr="00DB55EA">
              <w:rPr>
                <w:lang w:val="en-US"/>
              </w:rPr>
              <w:t>CEP implementation guidance and memoranda following ISP final rule</w:t>
            </w:r>
          </w:p>
        </w:tc>
        <w:tc>
          <w:tcPr>
            <w:tcW w:w="2448" w:type="dxa"/>
            <w:tcBorders>
              <w:top w:val="single" w:sz="4" w:space="0" w:color="auto"/>
              <w:left w:val="single" w:sz="4" w:space="0" w:color="auto"/>
              <w:bottom w:val="single" w:sz="4" w:space="0" w:color="auto"/>
              <w:right w:val="single" w:sz="4" w:space="0" w:color="auto"/>
            </w:tcBorders>
            <w:hideMark/>
          </w:tcPr>
          <w:p w14:paraId="0A976F71" w14:textId="77777777" w:rsidR="00DB55EA" w:rsidRPr="00DB55EA" w:rsidRDefault="00DB55EA" w:rsidP="00DB55EA">
            <w:pPr>
              <w:spacing w:after="160" w:line="278" w:lineRule="auto"/>
              <w:rPr>
                <w:lang w:val="en-US"/>
              </w:rPr>
            </w:pPr>
            <w:r w:rsidRPr="00DB55EA">
              <w:rPr>
                <w:lang w:val="en-US"/>
              </w:rPr>
              <w:t>Federal policy guidance</w:t>
            </w:r>
          </w:p>
        </w:tc>
        <w:tc>
          <w:tcPr>
            <w:tcW w:w="2448" w:type="dxa"/>
            <w:tcBorders>
              <w:top w:val="single" w:sz="4" w:space="0" w:color="auto"/>
              <w:left w:val="single" w:sz="4" w:space="0" w:color="auto"/>
              <w:bottom w:val="single" w:sz="4" w:space="0" w:color="auto"/>
              <w:right w:val="single" w:sz="4" w:space="0" w:color="auto"/>
            </w:tcBorders>
            <w:hideMark/>
          </w:tcPr>
          <w:p w14:paraId="6E9AF513" w14:textId="77777777" w:rsidR="00DB55EA" w:rsidRPr="00DB55EA" w:rsidRDefault="00DB55EA" w:rsidP="00DB55EA">
            <w:pPr>
              <w:spacing w:after="160" w:line="278" w:lineRule="auto"/>
              <w:rPr>
                <w:lang w:val="en-US"/>
              </w:rPr>
            </w:pPr>
            <w:r w:rsidRPr="00DB55EA">
              <w:rPr>
                <w:lang w:val="en-US"/>
              </w:rPr>
              <w:t>USDA Food and Nutrition Service</w:t>
            </w:r>
          </w:p>
        </w:tc>
        <w:tc>
          <w:tcPr>
            <w:tcW w:w="2448" w:type="dxa"/>
            <w:tcBorders>
              <w:top w:val="single" w:sz="4" w:space="0" w:color="auto"/>
              <w:left w:val="single" w:sz="4" w:space="0" w:color="auto"/>
              <w:bottom w:val="single" w:sz="4" w:space="0" w:color="auto"/>
              <w:right w:val="single" w:sz="4" w:space="0" w:color="auto"/>
            </w:tcBorders>
            <w:hideMark/>
          </w:tcPr>
          <w:p w14:paraId="49B8CE7E" w14:textId="77777777" w:rsidR="00DB55EA" w:rsidRPr="00DB55EA" w:rsidRDefault="00DB55EA" w:rsidP="00DB55EA">
            <w:pPr>
              <w:spacing w:after="160" w:line="278" w:lineRule="auto"/>
              <w:rPr>
                <w:lang w:val="en-US"/>
              </w:rPr>
            </w:pPr>
            <w:r w:rsidRPr="00DB55EA">
              <w:rPr>
                <w:lang w:val="en-US"/>
              </w:rPr>
              <w:t>Clarifies administrative and operational requirements affecting school participation</w:t>
            </w:r>
          </w:p>
        </w:tc>
      </w:tr>
      <w:tr w:rsidR="00DB55EA" w:rsidRPr="00DB55EA" w14:paraId="5F6AB38A" w14:textId="77777777">
        <w:tc>
          <w:tcPr>
            <w:tcW w:w="2448" w:type="dxa"/>
            <w:tcBorders>
              <w:top w:val="single" w:sz="4" w:space="0" w:color="auto"/>
              <w:left w:val="single" w:sz="4" w:space="0" w:color="auto"/>
              <w:bottom w:val="single" w:sz="4" w:space="0" w:color="auto"/>
              <w:right w:val="single" w:sz="4" w:space="0" w:color="auto"/>
            </w:tcBorders>
            <w:hideMark/>
          </w:tcPr>
          <w:p w14:paraId="2D809E06" w14:textId="77777777" w:rsidR="00DB55EA" w:rsidRPr="00DB55EA" w:rsidRDefault="00DB55EA" w:rsidP="00DB55EA">
            <w:pPr>
              <w:spacing w:after="160" w:line="278" w:lineRule="auto"/>
              <w:rPr>
                <w:lang w:val="en-US"/>
              </w:rPr>
            </w:pPr>
            <w:r w:rsidRPr="00DB55EA">
              <w:rPr>
                <w:lang w:val="en-US"/>
              </w:rPr>
              <w:t>U.S. Department of Agriculture (2025)</w:t>
            </w:r>
          </w:p>
        </w:tc>
        <w:tc>
          <w:tcPr>
            <w:tcW w:w="2448" w:type="dxa"/>
            <w:tcBorders>
              <w:top w:val="single" w:sz="4" w:space="0" w:color="auto"/>
              <w:left w:val="single" w:sz="4" w:space="0" w:color="auto"/>
              <w:bottom w:val="single" w:sz="4" w:space="0" w:color="auto"/>
              <w:right w:val="single" w:sz="4" w:space="0" w:color="auto"/>
            </w:tcBorders>
            <w:hideMark/>
          </w:tcPr>
          <w:p w14:paraId="3A3B06B3" w14:textId="77777777" w:rsidR="00DB55EA" w:rsidRPr="00DB55EA" w:rsidRDefault="00DB55EA" w:rsidP="00DB55EA">
            <w:pPr>
              <w:spacing w:after="160" w:line="278" w:lineRule="auto"/>
              <w:rPr>
                <w:lang w:val="en-US"/>
              </w:rPr>
            </w:pPr>
            <w:r w:rsidRPr="00DB55EA">
              <w:rPr>
                <w:lang w:val="en-US"/>
              </w:rPr>
              <w:t>Notice terminating/sunsetting Local Food for Schools (LFS) and Local Food Purchase Assistance (LFPA) agreements</w:t>
            </w:r>
          </w:p>
        </w:tc>
        <w:tc>
          <w:tcPr>
            <w:tcW w:w="2448" w:type="dxa"/>
            <w:tcBorders>
              <w:top w:val="single" w:sz="4" w:space="0" w:color="auto"/>
              <w:left w:val="single" w:sz="4" w:space="0" w:color="auto"/>
              <w:bottom w:val="single" w:sz="4" w:space="0" w:color="auto"/>
              <w:right w:val="single" w:sz="4" w:space="0" w:color="auto"/>
            </w:tcBorders>
            <w:hideMark/>
          </w:tcPr>
          <w:p w14:paraId="057CD58D" w14:textId="77777777" w:rsidR="00DB55EA" w:rsidRPr="00DB55EA" w:rsidRDefault="00DB55EA" w:rsidP="00DB55EA">
            <w:pPr>
              <w:spacing w:after="160" w:line="278" w:lineRule="auto"/>
              <w:rPr>
                <w:lang w:val="en-US"/>
              </w:rPr>
            </w:pPr>
            <w:r w:rsidRPr="00DB55EA">
              <w:rPr>
                <w:lang w:val="en-US"/>
              </w:rPr>
              <w:t>Federal policy communication</w:t>
            </w:r>
          </w:p>
        </w:tc>
        <w:tc>
          <w:tcPr>
            <w:tcW w:w="2448" w:type="dxa"/>
            <w:tcBorders>
              <w:top w:val="single" w:sz="4" w:space="0" w:color="auto"/>
              <w:left w:val="single" w:sz="4" w:space="0" w:color="auto"/>
              <w:bottom w:val="single" w:sz="4" w:space="0" w:color="auto"/>
              <w:right w:val="single" w:sz="4" w:space="0" w:color="auto"/>
            </w:tcBorders>
            <w:hideMark/>
          </w:tcPr>
          <w:p w14:paraId="21193181" w14:textId="77777777" w:rsidR="00DB55EA" w:rsidRPr="00DB55EA" w:rsidRDefault="00DB55EA" w:rsidP="00DB55EA">
            <w:pPr>
              <w:spacing w:after="160" w:line="278" w:lineRule="auto"/>
              <w:rPr>
                <w:lang w:val="en-US"/>
              </w:rPr>
            </w:pPr>
            <w:r w:rsidRPr="00DB55EA">
              <w:rPr>
                <w:lang w:val="en-US"/>
              </w:rPr>
              <w:t>USDA Food and Nutrition Service</w:t>
            </w:r>
          </w:p>
        </w:tc>
        <w:tc>
          <w:tcPr>
            <w:tcW w:w="2448" w:type="dxa"/>
            <w:tcBorders>
              <w:top w:val="single" w:sz="4" w:space="0" w:color="auto"/>
              <w:left w:val="single" w:sz="4" w:space="0" w:color="auto"/>
              <w:bottom w:val="single" w:sz="4" w:space="0" w:color="auto"/>
              <w:right w:val="single" w:sz="4" w:space="0" w:color="auto"/>
            </w:tcBorders>
            <w:hideMark/>
          </w:tcPr>
          <w:p w14:paraId="5E8CECF1" w14:textId="77777777" w:rsidR="00DB55EA" w:rsidRPr="00DB55EA" w:rsidRDefault="00DB55EA" w:rsidP="00DB55EA">
            <w:pPr>
              <w:spacing w:after="160" w:line="278" w:lineRule="auto"/>
              <w:rPr>
                <w:lang w:val="en-US"/>
              </w:rPr>
            </w:pPr>
            <w:r w:rsidRPr="00DB55EA">
              <w:rPr>
                <w:lang w:val="en-US"/>
              </w:rPr>
              <w:t>Documents federal retrenchment affecting school meal funding and supply chains</w:t>
            </w:r>
          </w:p>
        </w:tc>
      </w:tr>
      <w:tr w:rsidR="00DB55EA" w:rsidRPr="00DB55EA" w14:paraId="081D4D53" w14:textId="77777777">
        <w:tc>
          <w:tcPr>
            <w:tcW w:w="2448" w:type="dxa"/>
            <w:tcBorders>
              <w:top w:val="single" w:sz="4" w:space="0" w:color="auto"/>
              <w:left w:val="single" w:sz="4" w:space="0" w:color="auto"/>
              <w:bottom w:val="single" w:sz="4" w:space="0" w:color="auto"/>
              <w:right w:val="single" w:sz="4" w:space="0" w:color="auto"/>
            </w:tcBorders>
            <w:hideMark/>
          </w:tcPr>
          <w:p w14:paraId="1B7694BE" w14:textId="77777777" w:rsidR="00DB55EA" w:rsidRPr="00DB55EA" w:rsidRDefault="00DB55EA" w:rsidP="00DB55EA">
            <w:pPr>
              <w:spacing w:after="160" w:line="278" w:lineRule="auto"/>
              <w:rPr>
                <w:lang w:val="en-US"/>
              </w:rPr>
            </w:pPr>
            <w:r w:rsidRPr="00DB55EA">
              <w:rPr>
                <w:lang w:val="en-US"/>
              </w:rPr>
              <w:lastRenderedPageBreak/>
              <w:t>U.S. Department of Agriculture (2025)</w:t>
            </w:r>
          </w:p>
        </w:tc>
        <w:tc>
          <w:tcPr>
            <w:tcW w:w="2448" w:type="dxa"/>
            <w:tcBorders>
              <w:top w:val="single" w:sz="4" w:space="0" w:color="auto"/>
              <w:left w:val="single" w:sz="4" w:space="0" w:color="auto"/>
              <w:bottom w:val="single" w:sz="4" w:space="0" w:color="auto"/>
              <w:right w:val="single" w:sz="4" w:space="0" w:color="auto"/>
            </w:tcBorders>
            <w:hideMark/>
          </w:tcPr>
          <w:p w14:paraId="2F350E2C" w14:textId="77777777" w:rsidR="00DB55EA" w:rsidRPr="00DB55EA" w:rsidRDefault="00DB55EA" w:rsidP="00DB55EA">
            <w:pPr>
              <w:spacing w:after="160" w:line="278" w:lineRule="auto"/>
              <w:rPr>
                <w:lang w:val="en-US"/>
              </w:rPr>
            </w:pPr>
            <w:r w:rsidRPr="00DB55EA">
              <w:rPr>
                <w:lang w:val="en-US"/>
              </w:rPr>
              <w:t>Associated LFS/LFPA implementation or closeout guidance</w:t>
            </w:r>
          </w:p>
        </w:tc>
        <w:tc>
          <w:tcPr>
            <w:tcW w:w="2448" w:type="dxa"/>
            <w:tcBorders>
              <w:top w:val="single" w:sz="4" w:space="0" w:color="auto"/>
              <w:left w:val="single" w:sz="4" w:space="0" w:color="auto"/>
              <w:bottom w:val="single" w:sz="4" w:space="0" w:color="auto"/>
              <w:right w:val="single" w:sz="4" w:space="0" w:color="auto"/>
            </w:tcBorders>
            <w:hideMark/>
          </w:tcPr>
          <w:p w14:paraId="216D7CF6" w14:textId="77777777" w:rsidR="00DB55EA" w:rsidRPr="00DB55EA" w:rsidRDefault="00DB55EA" w:rsidP="00DB55EA">
            <w:pPr>
              <w:spacing w:after="160" w:line="278" w:lineRule="auto"/>
              <w:rPr>
                <w:lang w:val="en-US"/>
              </w:rPr>
            </w:pPr>
            <w:r w:rsidRPr="00DB55EA">
              <w:rPr>
                <w:lang w:val="en-US"/>
              </w:rPr>
              <w:t>Federal policy guidance</w:t>
            </w:r>
          </w:p>
        </w:tc>
        <w:tc>
          <w:tcPr>
            <w:tcW w:w="2448" w:type="dxa"/>
            <w:tcBorders>
              <w:top w:val="single" w:sz="4" w:space="0" w:color="auto"/>
              <w:left w:val="single" w:sz="4" w:space="0" w:color="auto"/>
              <w:bottom w:val="single" w:sz="4" w:space="0" w:color="auto"/>
              <w:right w:val="single" w:sz="4" w:space="0" w:color="auto"/>
            </w:tcBorders>
            <w:hideMark/>
          </w:tcPr>
          <w:p w14:paraId="005FAE15" w14:textId="77777777" w:rsidR="00DB55EA" w:rsidRPr="00DB55EA" w:rsidRDefault="00DB55EA" w:rsidP="00DB55EA">
            <w:pPr>
              <w:spacing w:after="160" w:line="278" w:lineRule="auto"/>
              <w:rPr>
                <w:lang w:val="en-US"/>
              </w:rPr>
            </w:pPr>
            <w:r w:rsidRPr="00DB55EA">
              <w:rPr>
                <w:lang w:val="en-US"/>
              </w:rPr>
              <w:t>USDA Food and Nutrition Service</w:t>
            </w:r>
          </w:p>
        </w:tc>
        <w:tc>
          <w:tcPr>
            <w:tcW w:w="2448" w:type="dxa"/>
            <w:tcBorders>
              <w:top w:val="single" w:sz="4" w:space="0" w:color="auto"/>
              <w:left w:val="single" w:sz="4" w:space="0" w:color="auto"/>
              <w:bottom w:val="single" w:sz="4" w:space="0" w:color="auto"/>
              <w:right w:val="single" w:sz="4" w:space="0" w:color="auto"/>
            </w:tcBorders>
            <w:hideMark/>
          </w:tcPr>
          <w:p w14:paraId="71A5FE65" w14:textId="77777777" w:rsidR="00DB55EA" w:rsidRPr="00DB55EA" w:rsidRDefault="00DB55EA" w:rsidP="00DB55EA">
            <w:pPr>
              <w:spacing w:after="160" w:line="278" w:lineRule="auto"/>
              <w:rPr>
                <w:lang w:val="en-US"/>
              </w:rPr>
            </w:pPr>
            <w:r w:rsidRPr="00DB55EA">
              <w:rPr>
                <w:lang w:val="en-US"/>
              </w:rPr>
              <w:t>Details implementation consequences of ending local food procurement support</w:t>
            </w:r>
          </w:p>
        </w:tc>
      </w:tr>
      <w:tr w:rsidR="00DB55EA" w:rsidRPr="00DB55EA" w14:paraId="7E298EB5" w14:textId="77777777">
        <w:tc>
          <w:tcPr>
            <w:tcW w:w="2448" w:type="dxa"/>
            <w:tcBorders>
              <w:top w:val="single" w:sz="4" w:space="0" w:color="auto"/>
              <w:left w:val="single" w:sz="4" w:space="0" w:color="auto"/>
              <w:bottom w:val="single" w:sz="4" w:space="0" w:color="auto"/>
              <w:right w:val="single" w:sz="4" w:space="0" w:color="auto"/>
            </w:tcBorders>
            <w:hideMark/>
          </w:tcPr>
          <w:p w14:paraId="672C28EA" w14:textId="77777777" w:rsidR="00DB55EA" w:rsidRPr="00DB55EA" w:rsidRDefault="00DB55EA" w:rsidP="00DB55EA">
            <w:pPr>
              <w:spacing w:after="160" w:line="278" w:lineRule="auto"/>
              <w:rPr>
                <w:lang w:val="en-US"/>
              </w:rPr>
            </w:pPr>
            <w:r w:rsidRPr="00DB55EA">
              <w:rPr>
                <w:lang w:val="en-US"/>
              </w:rPr>
              <w:t>U.S. Congress / Federal Budget Process (2025)</w:t>
            </w:r>
          </w:p>
        </w:tc>
        <w:tc>
          <w:tcPr>
            <w:tcW w:w="2448" w:type="dxa"/>
            <w:tcBorders>
              <w:top w:val="single" w:sz="4" w:space="0" w:color="auto"/>
              <w:left w:val="single" w:sz="4" w:space="0" w:color="auto"/>
              <w:bottom w:val="single" w:sz="4" w:space="0" w:color="auto"/>
              <w:right w:val="single" w:sz="4" w:space="0" w:color="auto"/>
            </w:tcBorders>
            <w:hideMark/>
          </w:tcPr>
          <w:p w14:paraId="242A88F4" w14:textId="77777777" w:rsidR="00DB55EA" w:rsidRPr="00DB55EA" w:rsidRDefault="00DB55EA" w:rsidP="00DB55EA">
            <w:pPr>
              <w:spacing w:after="160" w:line="278" w:lineRule="auto"/>
              <w:rPr>
                <w:lang w:val="en-US"/>
              </w:rPr>
            </w:pPr>
            <w:r w:rsidRPr="00DB55EA">
              <w:rPr>
                <w:lang w:val="en-US"/>
              </w:rPr>
              <w:t>Budget or reconciliation policy texts proposing changes affecting CEP eligibility or reimbursement</w:t>
            </w:r>
          </w:p>
        </w:tc>
        <w:tc>
          <w:tcPr>
            <w:tcW w:w="2448" w:type="dxa"/>
            <w:tcBorders>
              <w:top w:val="single" w:sz="4" w:space="0" w:color="auto"/>
              <w:left w:val="single" w:sz="4" w:space="0" w:color="auto"/>
              <w:bottom w:val="single" w:sz="4" w:space="0" w:color="auto"/>
              <w:right w:val="single" w:sz="4" w:space="0" w:color="auto"/>
            </w:tcBorders>
            <w:hideMark/>
          </w:tcPr>
          <w:p w14:paraId="0ED4BA5B" w14:textId="77777777" w:rsidR="00DB55EA" w:rsidRPr="00DB55EA" w:rsidRDefault="00DB55EA" w:rsidP="00DB55EA">
            <w:pPr>
              <w:spacing w:after="160" w:line="278" w:lineRule="auto"/>
              <w:rPr>
                <w:lang w:val="en-US"/>
              </w:rPr>
            </w:pPr>
            <w:r w:rsidRPr="00DB55EA">
              <w:rPr>
                <w:lang w:val="en-US"/>
              </w:rPr>
              <w:t>Federal budget / policy document</w:t>
            </w:r>
          </w:p>
        </w:tc>
        <w:tc>
          <w:tcPr>
            <w:tcW w:w="2448" w:type="dxa"/>
            <w:tcBorders>
              <w:top w:val="single" w:sz="4" w:space="0" w:color="auto"/>
              <w:left w:val="single" w:sz="4" w:space="0" w:color="auto"/>
              <w:bottom w:val="single" w:sz="4" w:space="0" w:color="auto"/>
              <w:right w:val="single" w:sz="4" w:space="0" w:color="auto"/>
            </w:tcBorders>
            <w:hideMark/>
          </w:tcPr>
          <w:p w14:paraId="11FDF400" w14:textId="77777777" w:rsidR="00DB55EA" w:rsidRPr="00DB55EA" w:rsidRDefault="00DB55EA" w:rsidP="00DB55EA">
            <w:pPr>
              <w:spacing w:after="160" w:line="278" w:lineRule="auto"/>
              <w:rPr>
                <w:lang w:val="en-US"/>
              </w:rPr>
            </w:pPr>
            <w:r w:rsidRPr="00DB55EA">
              <w:rPr>
                <w:lang w:val="en-US"/>
              </w:rPr>
              <w:t>Congressional budget materials</w:t>
            </w:r>
          </w:p>
        </w:tc>
        <w:tc>
          <w:tcPr>
            <w:tcW w:w="2448" w:type="dxa"/>
            <w:tcBorders>
              <w:top w:val="single" w:sz="4" w:space="0" w:color="auto"/>
              <w:left w:val="single" w:sz="4" w:space="0" w:color="auto"/>
              <w:bottom w:val="single" w:sz="4" w:space="0" w:color="auto"/>
              <w:right w:val="single" w:sz="4" w:space="0" w:color="auto"/>
            </w:tcBorders>
            <w:hideMark/>
          </w:tcPr>
          <w:p w14:paraId="56866DA7" w14:textId="77777777" w:rsidR="00DB55EA" w:rsidRPr="00DB55EA" w:rsidRDefault="00DB55EA" w:rsidP="00DB55EA">
            <w:pPr>
              <w:spacing w:after="160" w:line="278" w:lineRule="auto"/>
              <w:rPr>
                <w:lang w:val="en-US"/>
              </w:rPr>
            </w:pPr>
            <w:r w:rsidRPr="00DB55EA">
              <w:rPr>
                <w:lang w:val="en-US"/>
              </w:rPr>
              <w:t>Frames fiscal and eligibility constraints shaping potential CEP retrenchment</w:t>
            </w:r>
          </w:p>
        </w:tc>
      </w:tr>
      <w:tr w:rsidR="00DB55EA" w:rsidRPr="00DB55EA" w14:paraId="7FB4C905" w14:textId="77777777">
        <w:tc>
          <w:tcPr>
            <w:tcW w:w="2448" w:type="dxa"/>
            <w:tcBorders>
              <w:top w:val="single" w:sz="4" w:space="0" w:color="auto"/>
              <w:left w:val="single" w:sz="4" w:space="0" w:color="auto"/>
              <w:bottom w:val="single" w:sz="4" w:space="0" w:color="auto"/>
              <w:right w:val="single" w:sz="4" w:space="0" w:color="auto"/>
            </w:tcBorders>
            <w:hideMark/>
          </w:tcPr>
          <w:p w14:paraId="1B54BD4D" w14:textId="77777777" w:rsidR="00DB55EA" w:rsidRPr="00DB55EA" w:rsidRDefault="00DB55EA" w:rsidP="00DB55EA">
            <w:pPr>
              <w:spacing w:after="160" w:line="278" w:lineRule="auto"/>
              <w:rPr>
                <w:lang w:val="en-US"/>
              </w:rPr>
            </w:pPr>
            <w:r w:rsidRPr="00DB55EA">
              <w:rPr>
                <w:lang w:val="en-US"/>
              </w:rPr>
              <w:t>Food Research &amp; Action Center (2025)</w:t>
            </w:r>
          </w:p>
        </w:tc>
        <w:tc>
          <w:tcPr>
            <w:tcW w:w="2448" w:type="dxa"/>
            <w:tcBorders>
              <w:top w:val="single" w:sz="4" w:space="0" w:color="auto"/>
              <w:left w:val="single" w:sz="4" w:space="0" w:color="auto"/>
              <w:bottom w:val="single" w:sz="4" w:space="0" w:color="auto"/>
              <w:right w:val="single" w:sz="4" w:space="0" w:color="auto"/>
            </w:tcBorders>
            <w:hideMark/>
          </w:tcPr>
          <w:p w14:paraId="1CEEFD14" w14:textId="77777777" w:rsidR="00DB55EA" w:rsidRPr="00DB55EA" w:rsidRDefault="00DB55EA" w:rsidP="00DB55EA">
            <w:pPr>
              <w:spacing w:after="160" w:line="278" w:lineRule="auto"/>
              <w:rPr>
                <w:lang w:val="en-US"/>
              </w:rPr>
            </w:pPr>
            <w:r w:rsidRPr="00DB55EA">
              <w:rPr>
                <w:lang w:val="en-US"/>
              </w:rPr>
              <w:t>Analysis of CEP rollbacks and projected impacts on participation and equity</w:t>
            </w:r>
          </w:p>
        </w:tc>
        <w:tc>
          <w:tcPr>
            <w:tcW w:w="2448" w:type="dxa"/>
            <w:tcBorders>
              <w:top w:val="single" w:sz="4" w:space="0" w:color="auto"/>
              <w:left w:val="single" w:sz="4" w:space="0" w:color="auto"/>
              <w:bottom w:val="single" w:sz="4" w:space="0" w:color="auto"/>
              <w:right w:val="single" w:sz="4" w:space="0" w:color="auto"/>
            </w:tcBorders>
            <w:hideMark/>
          </w:tcPr>
          <w:p w14:paraId="176FB465" w14:textId="77777777" w:rsidR="00DB55EA" w:rsidRPr="00DB55EA" w:rsidRDefault="00DB55EA" w:rsidP="00DB55EA">
            <w:pPr>
              <w:spacing w:after="160" w:line="278" w:lineRule="auto"/>
              <w:rPr>
                <w:lang w:val="en-US"/>
              </w:rPr>
            </w:pPr>
            <w:r w:rsidRPr="00DB55EA">
              <w:rPr>
                <w:lang w:val="en-US"/>
              </w:rPr>
              <w:t>Advocacy / professional report</w:t>
            </w:r>
          </w:p>
        </w:tc>
        <w:tc>
          <w:tcPr>
            <w:tcW w:w="2448" w:type="dxa"/>
            <w:tcBorders>
              <w:top w:val="single" w:sz="4" w:space="0" w:color="auto"/>
              <w:left w:val="single" w:sz="4" w:space="0" w:color="auto"/>
              <w:bottom w:val="single" w:sz="4" w:space="0" w:color="auto"/>
              <w:right w:val="single" w:sz="4" w:space="0" w:color="auto"/>
            </w:tcBorders>
            <w:hideMark/>
          </w:tcPr>
          <w:p w14:paraId="33684F26" w14:textId="77777777" w:rsidR="00DB55EA" w:rsidRPr="00DB55EA" w:rsidRDefault="00DB55EA" w:rsidP="00DB55EA">
            <w:pPr>
              <w:spacing w:after="160" w:line="278" w:lineRule="auto"/>
              <w:rPr>
                <w:lang w:val="en-US"/>
              </w:rPr>
            </w:pPr>
            <w:r w:rsidRPr="00DB55EA">
              <w:rPr>
                <w:lang w:val="en-US"/>
              </w:rPr>
              <w:t>FRAC repository</w:t>
            </w:r>
          </w:p>
        </w:tc>
        <w:tc>
          <w:tcPr>
            <w:tcW w:w="2448" w:type="dxa"/>
            <w:tcBorders>
              <w:top w:val="single" w:sz="4" w:space="0" w:color="auto"/>
              <w:left w:val="single" w:sz="4" w:space="0" w:color="auto"/>
              <w:bottom w:val="single" w:sz="4" w:space="0" w:color="auto"/>
              <w:right w:val="single" w:sz="4" w:space="0" w:color="auto"/>
            </w:tcBorders>
            <w:hideMark/>
          </w:tcPr>
          <w:p w14:paraId="43B13115" w14:textId="77777777" w:rsidR="00DB55EA" w:rsidRPr="00DB55EA" w:rsidRDefault="00DB55EA" w:rsidP="00DB55EA">
            <w:pPr>
              <w:spacing w:after="160" w:line="278" w:lineRule="auto"/>
              <w:rPr>
                <w:lang w:val="en-US"/>
              </w:rPr>
            </w:pPr>
            <w:r w:rsidRPr="00DB55EA">
              <w:rPr>
                <w:lang w:val="en-US"/>
              </w:rPr>
              <w:t>Interprets federal policy changes and projects impacts on access and equity</w:t>
            </w:r>
          </w:p>
        </w:tc>
      </w:tr>
      <w:tr w:rsidR="00DB55EA" w:rsidRPr="00DB55EA" w14:paraId="4739F8DC" w14:textId="77777777">
        <w:tc>
          <w:tcPr>
            <w:tcW w:w="2448" w:type="dxa"/>
            <w:tcBorders>
              <w:top w:val="single" w:sz="4" w:space="0" w:color="auto"/>
              <w:left w:val="single" w:sz="4" w:space="0" w:color="auto"/>
              <w:bottom w:val="single" w:sz="4" w:space="0" w:color="auto"/>
              <w:right w:val="single" w:sz="4" w:space="0" w:color="auto"/>
            </w:tcBorders>
            <w:hideMark/>
          </w:tcPr>
          <w:p w14:paraId="5590AF37" w14:textId="77777777" w:rsidR="00DB55EA" w:rsidRPr="00DB55EA" w:rsidRDefault="00DB55EA" w:rsidP="00DB55EA">
            <w:pPr>
              <w:spacing w:after="160" w:line="278" w:lineRule="auto"/>
              <w:rPr>
                <w:lang w:val="en-US"/>
              </w:rPr>
            </w:pPr>
            <w:r w:rsidRPr="00DB55EA">
              <w:rPr>
                <w:lang w:val="en-US"/>
              </w:rPr>
              <w:t>Food Research &amp; Action Center &amp; Center on Budget and Policy Priorities (2025)</w:t>
            </w:r>
          </w:p>
        </w:tc>
        <w:tc>
          <w:tcPr>
            <w:tcW w:w="2448" w:type="dxa"/>
            <w:tcBorders>
              <w:top w:val="single" w:sz="4" w:space="0" w:color="auto"/>
              <w:left w:val="single" w:sz="4" w:space="0" w:color="auto"/>
              <w:bottom w:val="single" w:sz="4" w:space="0" w:color="auto"/>
              <w:right w:val="single" w:sz="4" w:space="0" w:color="auto"/>
            </w:tcBorders>
            <w:hideMark/>
          </w:tcPr>
          <w:p w14:paraId="2A9EA820" w14:textId="77777777" w:rsidR="00DB55EA" w:rsidRPr="00DB55EA" w:rsidRDefault="00DB55EA" w:rsidP="00DB55EA">
            <w:pPr>
              <w:spacing w:after="160" w:line="278" w:lineRule="auto"/>
              <w:rPr>
                <w:lang w:val="en-US"/>
              </w:rPr>
            </w:pPr>
            <w:r w:rsidRPr="00DB55EA">
              <w:rPr>
                <w:lang w:val="en-US"/>
              </w:rPr>
              <w:t>Joint analysis of proposed CEP eligibility and funding changes</w:t>
            </w:r>
          </w:p>
        </w:tc>
        <w:tc>
          <w:tcPr>
            <w:tcW w:w="2448" w:type="dxa"/>
            <w:tcBorders>
              <w:top w:val="single" w:sz="4" w:space="0" w:color="auto"/>
              <w:left w:val="single" w:sz="4" w:space="0" w:color="auto"/>
              <w:bottom w:val="single" w:sz="4" w:space="0" w:color="auto"/>
              <w:right w:val="single" w:sz="4" w:space="0" w:color="auto"/>
            </w:tcBorders>
            <w:hideMark/>
          </w:tcPr>
          <w:p w14:paraId="23A4909E" w14:textId="77777777" w:rsidR="00DB55EA" w:rsidRPr="00DB55EA" w:rsidRDefault="00DB55EA" w:rsidP="00DB55EA">
            <w:pPr>
              <w:spacing w:after="160" w:line="278" w:lineRule="auto"/>
              <w:rPr>
                <w:lang w:val="en-US"/>
              </w:rPr>
            </w:pPr>
            <w:r w:rsidRPr="00DB55EA">
              <w:rPr>
                <w:lang w:val="en-US"/>
              </w:rPr>
              <w:t>Advocacy / policy analysis report</w:t>
            </w:r>
          </w:p>
        </w:tc>
        <w:tc>
          <w:tcPr>
            <w:tcW w:w="2448" w:type="dxa"/>
            <w:tcBorders>
              <w:top w:val="single" w:sz="4" w:space="0" w:color="auto"/>
              <w:left w:val="single" w:sz="4" w:space="0" w:color="auto"/>
              <w:bottom w:val="single" w:sz="4" w:space="0" w:color="auto"/>
              <w:right w:val="single" w:sz="4" w:space="0" w:color="auto"/>
            </w:tcBorders>
            <w:hideMark/>
          </w:tcPr>
          <w:p w14:paraId="7B4CD1B1" w14:textId="77777777" w:rsidR="00DB55EA" w:rsidRPr="00DB55EA" w:rsidRDefault="00DB55EA" w:rsidP="00DB55EA">
            <w:pPr>
              <w:spacing w:after="160" w:line="278" w:lineRule="auto"/>
              <w:rPr>
                <w:lang w:val="en-US"/>
              </w:rPr>
            </w:pPr>
            <w:r w:rsidRPr="00DB55EA">
              <w:rPr>
                <w:lang w:val="en-US"/>
              </w:rPr>
              <w:t>FRAC / CBPP websites</w:t>
            </w:r>
          </w:p>
        </w:tc>
        <w:tc>
          <w:tcPr>
            <w:tcW w:w="2448" w:type="dxa"/>
            <w:tcBorders>
              <w:top w:val="single" w:sz="4" w:space="0" w:color="auto"/>
              <w:left w:val="single" w:sz="4" w:space="0" w:color="auto"/>
              <w:bottom w:val="single" w:sz="4" w:space="0" w:color="auto"/>
              <w:right w:val="single" w:sz="4" w:space="0" w:color="auto"/>
            </w:tcBorders>
            <w:hideMark/>
          </w:tcPr>
          <w:p w14:paraId="4D155A67" w14:textId="77777777" w:rsidR="00DB55EA" w:rsidRPr="00DB55EA" w:rsidRDefault="00DB55EA" w:rsidP="00DB55EA">
            <w:pPr>
              <w:spacing w:after="160" w:line="278" w:lineRule="auto"/>
              <w:rPr>
                <w:lang w:val="en-US"/>
              </w:rPr>
            </w:pPr>
            <w:r w:rsidRPr="00DB55EA">
              <w:rPr>
                <w:lang w:val="en-US"/>
              </w:rPr>
              <w:t>Examines budget-driven threats to universal meal access</w:t>
            </w:r>
          </w:p>
        </w:tc>
      </w:tr>
      <w:tr w:rsidR="00DB55EA" w:rsidRPr="00DB55EA" w14:paraId="7B542CE5" w14:textId="77777777">
        <w:tc>
          <w:tcPr>
            <w:tcW w:w="2448" w:type="dxa"/>
            <w:tcBorders>
              <w:top w:val="single" w:sz="4" w:space="0" w:color="auto"/>
              <w:left w:val="single" w:sz="4" w:space="0" w:color="auto"/>
              <w:bottom w:val="single" w:sz="4" w:space="0" w:color="auto"/>
              <w:right w:val="single" w:sz="4" w:space="0" w:color="auto"/>
            </w:tcBorders>
            <w:hideMark/>
          </w:tcPr>
          <w:p w14:paraId="160CE8CA" w14:textId="77777777" w:rsidR="00DB55EA" w:rsidRPr="00DB55EA" w:rsidRDefault="00DB55EA" w:rsidP="00DB55EA">
            <w:pPr>
              <w:spacing w:after="160" w:line="278" w:lineRule="auto"/>
              <w:rPr>
                <w:lang w:val="en-US"/>
              </w:rPr>
            </w:pPr>
            <w:r w:rsidRPr="00DB55EA">
              <w:rPr>
                <w:lang w:val="en-US"/>
              </w:rPr>
              <w:t>School Nutrition Association (2025a)</w:t>
            </w:r>
          </w:p>
        </w:tc>
        <w:tc>
          <w:tcPr>
            <w:tcW w:w="2448" w:type="dxa"/>
            <w:tcBorders>
              <w:top w:val="single" w:sz="4" w:space="0" w:color="auto"/>
              <w:left w:val="single" w:sz="4" w:space="0" w:color="auto"/>
              <w:bottom w:val="single" w:sz="4" w:space="0" w:color="auto"/>
              <w:right w:val="single" w:sz="4" w:space="0" w:color="auto"/>
            </w:tcBorders>
            <w:hideMark/>
          </w:tcPr>
          <w:p w14:paraId="084B5132" w14:textId="77777777" w:rsidR="00DB55EA" w:rsidRPr="00DB55EA" w:rsidRDefault="00DB55EA" w:rsidP="00DB55EA">
            <w:pPr>
              <w:spacing w:after="160" w:line="278" w:lineRule="auto"/>
              <w:rPr>
                <w:lang w:val="en-US"/>
              </w:rPr>
            </w:pPr>
            <w:r w:rsidRPr="00DB55EA">
              <w:rPr>
                <w:lang w:val="en-US"/>
              </w:rPr>
              <w:t>Warning on reconciliation measures affecting school meals</w:t>
            </w:r>
          </w:p>
        </w:tc>
        <w:tc>
          <w:tcPr>
            <w:tcW w:w="2448" w:type="dxa"/>
            <w:tcBorders>
              <w:top w:val="single" w:sz="4" w:space="0" w:color="auto"/>
              <w:left w:val="single" w:sz="4" w:space="0" w:color="auto"/>
              <w:bottom w:val="single" w:sz="4" w:space="0" w:color="auto"/>
              <w:right w:val="single" w:sz="4" w:space="0" w:color="auto"/>
            </w:tcBorders>
            <w:hideMark/>
          </w:tcPr>
          <w:p w14:paraId="4C76AD66" w14:textId="77777777" w:rsidR="00DB55EA" w:rsidRPr="00DB55EA" w:rsidRDefault="00DB55EA" w:rsidP="00DB55EA">
            <w:pPr>
              <w:spacing w:after="160" w:line="278" w:lineRule="auto"/>
              <w:rPr>
                <w:lang w:val="en-US"/>
              </w:rPr>
            </w:pPr>
            <w:r w:rsidRPr="00DB55EA">
              <w:rPr>
                <w:lang w:val="en-US"/>
              </w:rPr>
              <w:t>Advocacy / professional report</w:t>
            </w:r>
          </w:p>
        </w:tc>
        <w:tc>
          <w:tcPr>
            <w:tcW w:w="2448" w:type="dxa"/>
            <w:tcBorders>
              <w:top w:val="single" w:sz="4" w:space="0" w:color="auto"/>
              <w:left w:val="single" w:sz="4" w:space="0" w:color="auto"/>
              <w:bottom w:val="single" w:sz="4" w:space="0" w:color="auto"/>
              <w:right w:val="single" w:sz="4" w:space="0" w:color="auto"/>
            </w:tcBorders>
            <w:hideMark/>
          </w:tcPr>
          <w:p w14:paraId="7FE711C5" w14:textId="77777777" w:rsidR="00DB55EA" w:rsidRPr="00DB55EA" w:rsidRDefault="00DB55EA" w:rsidP="00DB55EA">
            <w:pPr>
              <w:spacing w:after="160" w:line="278" w:lineRule="auto"/>
              <w:rPr>
                <w:lang w:val="en-US"/>
              </w:rPr>
            </w:pPr>
            <w:r w:rsidRPr="00DB55EA">
              <w:rPr>
                <w:lang w:val="en-US"/>
              </w:rPr>
              <w:t>SNA repository</w:t>
            </w:r>
          </w:p>
        </w:tc>
        <w:tc>
          <w:tcPr>
            <w:tcW w:w="2448" w:type="dxa"/>
            <w:tcBorders>
              <w:top w:val="single" w:sz="4" w:space="0" w:color="auto"/>
              <w:left w:val="single" w:sz="4" w:space="0" w:color="auto"/>
              <w:bottom w:val="single" w:sz="4" w:space="0" w:color="auto"/>
              <w:right w:val="single" w:sz="4" w:space="0" w:color="auto"/>
            </w:tcBorders>
            <w:hideMark/>
          </w:tcPr>
          <w:p w14:paraId="5EA1AC19" w14:textId="77777777" w:rsidR="00DB55EA" w:rsidRPr="00DB55EA" w:rsidRDefault="00DB55EA" w:rsidP="00DB55EA">
            <w:pPr>
              <w:spacing w:after="160" w:line="278" w:lineRule="auto"/>
              <w:rPr>
                <w:lang w:val="en-US"/>
              </w:rPr>
            </w:pPr>
            <w:r w:rsidRPr="00DB55EA">
              <w:rPr>
                <w:lang w:val="en-US"/>
              </w:rPr>
              <w:t>Documents anticipated administrative and fiscal burdens for districts</w:t>
            </w:r>
          </w:p>
        </w:tc>
      </w:tr>
      <w:tr w:rsidR="00DB55EA" w:rsidRPr="00DB55EA" w14:paraId="5DD6B375" w14:textId="77777777">
        <w:tc>
          <w:tcPr>
            <w:tcW w:w="2448" w:type="dxa"/>
            <w:tcBorders>
              <w:top w:val="single" w:sz="4" w:space="0" w:color="auto"/>
              <w:left w:val="single" w:sz="4" w:space="0" w:color="auto"/>
              <w:bottom w:val="single" w:sz="4" w:space="0" w:color="auto"/>
              <w:right w:val="single" w:sz="4" w:space="0" w:color="auto"/>
            </w:tcBorders>
            <w:hideMark/>
          </w:tcPr>
          <w:p w14:paraId="674B4A05" w14:textId="77777777" w:rsidR="00DB55EA" w:rsidRPr="00DB55EA" w:rsidRDefault="00DB55EA" w:rsidP="00DB55EA">
            <w:pPr>
              <w:spacing w:after="160" w:line="278" w:lineRule="auto"/>
              <w:rPr>
                <w:lang w:val="en-US"/>
              </w:rPr>
            </w:pPr>
            <w:r w:rsidRPr="00DB55EA">
              <w:rPr>
                <w:lang w:val="en-US"/>
              </w:rPr>
              <w:lastRenderedPageBreak/>
              <w:t>School Nutrition Association (2025b)</w:t>
            </w:r>
          </w:p>
        </w:tc>
        <w:tc>
          <w:tcPr>
            <w:tcW w:w="2448" w:type="dxa"/>
            <w:tcBorders>
              <w:top w:val="single" w:sz="4" w:space="0" w:color="auto"/>
              <w:left w:val="single" w:sz="4" w:space="0" w:color="auto"/>
              <w:bottom w:val="single" w:sz="4" w:space="0" w:color="auto"/>
              <w:right w:val="single" w:sz="4" w:space="0" w:color="auto"/>
            </w:tcBorders>
            <w:hideMark/>
          </w:tcPr>
          <w:p w14:paraId="4E639355" w14:textId="77777777" w:rsidR="00DB55EA" w:rsidRPr="00DB55EA" w:rsidRDefault="00DB55EA" w:rsidP="00DB55EA">
            <w:pPr>
              <w:spacing w:after="160" w:line="278" w:lineRule="auto"/>
              <w:rPr>
                <w:lang w:val="en-US"/>
              </w:rPr>
            </w:pPr>
            <w:r w:rsidRPr="00DB55EA">
              <w:rPr>
                <w:lang w:val="en-US"/>
              </w:rPr>
              <w:t>Survey and reporting on SNAP/Medicaid eligibility changes and school meal impacts</w:t>
            </w:r>
          </w:p>
        </w:tc>
        <w:tc>
          <w:tcPr>
            <w:tcW w:w="2448" w:type="dxa"/>
            <w:tcBorders>
              <w:top w:val="single" w:sz="4" w:space="0" w:color="auto"/>
              <w:left w:val="single" w:sz="4" w:space="0" w:color="auto"/>
              <w:bottom w:val="single" w:sz="4" w:space="0" w:color="auto"/>
              <w:right w:val="single" w:sz="4" w:space="0" w:color="auto"/>
            </w:tcBorders>
            <w:hideMark/>
          </w:tcPr>
          <w:p w14:paraId="5D1804D6" w14:textId="77777777" w:rsidR="00DB55EA" w:rsidRPr="00DB55EA" w:rsidRDefault="00DB55EA" w:rsidP="00DB55EA">
            <w:pPr>
              <w:spacing w:after="160" w:line="278" w:lineRule="auto"/>
              <w:rPr>
                <w:lang w:val="en-US"/>
              </w:rPr>
            </w:pPr>
            <w:r w:rsidRPr="00DB55EA">
              <w:rPr>
                <w:lang w:val="en-US"/>
              </w:rPr>
              <w:t>Advocacy / professional report</w:t>
            </w:r>
          </w:p>
        </w:tc>
        <w:tc>
          <w:tcPr>
            <w:tcW w:w="2448" w:type="dxa"/>
            <w:tcBorders>
              <w:top w:val="single" w:sz="4" w:space="0" w:color="auto"/>
              <w:left w:val="single" w:sz="4" w:space="0" w:color="auto"/>
              <w:bottom w:val="single" w:sz="4" w:space="0" w:color="auto"/>
              <w:right w:val="single" w:sz="4" w:space="0" w:color="auto"/>
            </w:tcBorders>
            <w:hideMark/>
          </w:tcPr>
          <w:p w14:paraId="7D7E613A" w14:textId="77777777" w:rsidR="00DB55EA" w:rsidRPr="00DB55EA" w:rsidRDefault="00DB55EA" w:rsidP="00DB55EA">
            <w:pPr>
              <w:spacing w:after="160" w:line="278" w:lineRule="auto"/>
              <w:rPr>
                <w:lang w:val="en-US"/>
              </w:rPr>
            </w:pPr>
            <w:r w:rsidRPr="00DB55EA">
              <w:rPr>
                <w:lang w:val="en-US"/>
              </w:rPr>
              <w:t>SNA repository</w:t>
            </w:r>
          </w:p>
        </w:tc>
        <w:tc>
          <w:tcPr>
            <w:tcW w:w="2448" w:type="dxa"/>
            <w:tcBorders>
              <w:top w:val="single" w:sz="4" w:space="0" w:color="auto"/>
              <w:left w:val="single" w:sz="4" w:space="0" w:color="auto"/>
              <w:bottom w:val="single" w:sz="4" w:space="0" w:color="auto"/>
              <w:right w:val="single" w:sz="4" w:space="0" w:color="auto"/>
            </w:tcBorders>
            <w:hideMark/>
          </w:tcPr>
          <w:p w14:paraId="7464E5F4" w14:textId="77777777" w:rsidR="00DB55EA" w:rsidRPr="00DB55EA" w:rsidRDefault="00DB55EA" w:rsidP="00DB55EA">
            <w:pPr>
              <w:spacing w:after="160" w:line="278" w:lineRule="auto"/>
              <w:rPr>
                <w:lang w:val="en-US"/>
              </w:rPr>
            </w:pPr>
            <w:r w:rsidRPr="00DB55EA">
              <w:rPr>
                <w:lang w:val="en-US"/>
              </w:rPr>
              <w:t>Describes operational impacts of reduced automatic eligibility</w:t>
            </w:r>
          </w:p>
        </w:tc>
      </w:tr>
      <w:tr w:rsidR="00DB55EA" w:rsidRPr="00DB55EA" w14:paraId="21599B98" w14:textId="77777777">
        <w:tc>
          <w:tcPr>
            <w:tcW w:w="2448" w:type="dxa"/>
            <w:tcBorders>
              <w:top w:val="single" w:sz="4" w:space="0" w:color="auto"/>
              <w:left w:val="single" w:sz="4" w:space="0" w:color="auto"/>
              <w:bottom w:val="single" w:sz="4" w:space="0" w:color="auto"/>
              <w:right w:val="single" w:sz="4" w:space="0" w:color="auto"/>
            </w:tcBorders>
            <w:hideMark/>
          </w:tcPr>
          <w:p w14:paraId="10AF660D" w14:textId="77777777" w:rsidR="00DB55EA" w:rsidRPr="00DB55EA" w:rsidRDefault="00DB55EA" w:rsidP="00DB55EA">
            <w:pPr>
              <w:spacing w:after="160" w:line="278" w:lineRule="auto"/>
              <w:rPr>
                <w:lang w:val="en-US"/>
              </w:rPr>
            </w:pPr>
            <w:r w:rsidRPr="00DB55EA">
              <w:rPr>
                <w:lang w:val="en-US"/>
              </w:rPr>
              <w:t>Food Research &amp; Action Center (2025)</w:t>
            </w:r>
          </w:p>
        </w:tc>
        <w:tc>
          <w:tcPr>
            <w:tcW w:w="2448" w:type="dxa"/>
            <w:tcBorders>
              <w:top w:val="single" w:sz="4" w:space="0" w:color="auto"/>
              <w:left w:val="single" w:sz="4" w:space="0" w:color="auto"/>
              <w:bottom w:val="single" w:sz="4" w:space="0" w:color="auto"/>
              <w:right w:val="single" w:sz="4" w:space="0" w:color="auto"/>
            </w:tcBorders>
            <w:hideMark/>
          </w:tcPr>
          <w:p w14:paraId="33EAAC55" w14:textId="77777777" w:rsidR="00DB55EA" w:rsidRPr="00DB55EA" w:rsidRDefault="00DB55EA" w:rsidP="00DB55EA">
            <w:pPr>
              <w:spacing w:after="160" w:line="278" w:lineRule="auto"/>
              <w:rPr>
                <w:lang w:val="en-US"/>
              </w:rPr>
            </w:pPr>
            <w:r w:rsidRPr="00DB55EA">
              <w:rPr>
                <w:lang w:val="en-US"/>
              </w:rPr>
              <w:t>Analysis of direct certification erosion linked to SNAP and Medicaid policy changes</w:t>
            </w:r>
          </w:p>
        </w:tc>
        <w:tc>
          <w:tcPr>
            <w:tcW w:w="2448" w:type="dxa"/>
            <w:tcBorders>
              <w:top w:val="single" w:sz="4" w:space="0" w:color="auto"/>
              <w:left w:val="single" w:sz="4" w:space="0" w:color="auto"/>
              <w:bottom w:val="single" w:sz="4" w:space="0" w:color="auto"/>
              <w:right w:val="single" w:sz="4" w:space="0" w:color="auto"/>
            </w:tcBorders>
            <w:hideMark/>
          </w:tcPr>
          <w:p w14:paraId="4CE207C7" w14:textId="77777777" w:rsidR="00DB55EA" w:rsidRPr="00DB55EA" w:rsidRDefault="00DB55EA" w:rsidP="00DB55EA">
            <w:pPr>
              <w:spacing w:after="160" w:line="278" w:lineRule="auto"/>
              <w:rPr>
                <w:lang w:val="en-US"/>
              </w:rPr>
            </w:pPr>
            <w:r w:rsidRPr="00DB55EA">
              <w:rPr>
                <w:lang w:val="en-US"/>
              </w:rPr>
              <w:t>Advocacy / professional report</w:t>
            </w:r>
          </w:p>
        </w:tc>
        <w:tc>
          <w:tcPr>
            <w:tcW w:w="2448" w:type="dxa"/>
            <w:tcBorders>
              <w:top w:val="single" w:sz="4" w:space="0" w:color="auto"/>
              <w:left w:val="single" w:sz="4" w:space="0" w:color="auto"/>
              <w:bottom w:val="single" w:sz="4" w:space="0" w:color="auto"/>
              <w:right w:val="single" w:sz="4" w:space="0" w:color="auto"/>
            </w:tcBorders>
            <w:hideMark/>
          </w:tcPr>
          <w:p w14:paraId="16514166" w14:textId="77777777" w:rsidR="00DB55EA" w:rsidRPr="00DB55EA" w:rsidRDefault="00DB55EA" w:rsidP="00DB55EA">
            <w:pPr>
              <w:spacing w:after="160" w:line="278" w:lineRule="auto"/>
              <w:rPr>
                <w:lang w:val="en-US"/>
              </w:rPr>
            </w:pPr>
            <w:r w:rsidRPr="00DB55EA">
              <w:rPr>
                <w:lang w:val="en-US"/>
              </w:rPr>
              <w:t>FRAC repository</w:t>
            </w:r>
          </w:p>
        </w:tc>
        <w:tc>
          <w:tcPr>
            <w:tcW w:w="2448" w:type="dxa"/>
            <w:tcBorders>
              <w:top w:val="single" w:sz="4" w:space="0" w:color="auto"/>
              <w:left w:val="single" w:sz="4" w:space="0" w:color="auto"/>
              <w:bottom w:val="single" w:sz="4" w:space="0" w:color="auto"/>
              <w:right w:val="single" w:sz="4" w:space="0" w:color="auto"/>
            </w:tcBorders>
            <w:hideMark/>
          </w:tcPr>
          <w:p w14:paraId="4646B34E" w14:textId="77777777" w:rsidR="00DB55EA" w:rsidRPr="00DB55EA" w:rsidRDefault="00DB55EA" w:rsidP="00DB55EA">
            <w:pPr>
              <w:spacing w:after="160" w:line="278" w:lineRule="auto"/>
              <w:rPr>
                <w:lang w:val="en-US"/>
              </w:rPr>
            </w:pPr>
            <w:r w:rsidRPr="00DB55EA">
              <w:rPr>
                <w:lang w:val="en-US"/>
              </w:rPr>
              <w:t>Links benefit retrenchment to declining automatic eligibility for school meals</w:t>
            </w:r>
          </w:p>
        </w:tc>
      </w:tr>
      <w:tr w:rsidR="00DB55EA" w:rsidRPr="00DB55EA" w14:paraId="502C1B2F" w14:textId="77777777">
        <w:tc>
          <w:tcPr>
            <w:tcW w:w="2448" w:type="dxa"/>
            <w:tcBorders>
              <w:top w:val="single" w:sz="4" w:space="0" w:color="auto"/>
              <w:left w:val="single" w:sz="4" w:space="0" w:color="auto"/>
              <w:bottom w:val="single" w:sz="4" w:space="0" w:color="auto"/>
              <w:right w:val="single" w:sz="4" w:space="0" w:color="auto"/>
            </w:tcBorders>
            <w:hideMark/>
          </w:tcPr>
          <w:p w14:paraId="05B2CB0C" w14:textId="77777777" w:rsidR="00DB55EA" w:rsidRPr="00DB55EA" w:rsidRDefault="00DB55EA" w:rsidP="00DB55EA">
            <w:pPr>
              <w:spacing w:after="160" w:line="278" w:lineRule="auto"/>
              <w:rPr>
                <w:lang w:val="en-US"/>
              </w:rPr>
            </w:pPr>
            <w:r w:rsidRPr="00DB55EA">
              <w:rPr>
                <w:lang w:val="en-US"/>
              </w:rPr>
              <w:t>Food Research &amp; Action Center (2025)</w:t>
            </w:r>
          </w:p>
        </w:tc>
        <w:tc>
          <w:tcPr>
            <w:tcW w:w="2448" w:type="dxa"/>
            <w:tcBorders>
              <w:top w:val="single" w:sz="4" w:space="0" w:color="auto"/>
              <w:left w:val="single" w:sz="4" w:space="0" w:color="auto"/>
              <w:bottom w:val="single" w:sz="4" w:space="0" w:color="auto"/>
              <w:right w:val="single" w:sz="4" w:space="0" w:color="auto"/>
            </w:tcBorders>
            <w:hideMark/>
          </w:tcPr>
          <w:p w14:paraId="37244102" w14:textId="77777777" w:rsidR="00DB55EA" w:rsidRPr="00DB55EA" w:rsidRDefault="00DB55EA" w:rsidP="00DB55EA">
            <w:pPr>
              <w:spacing w:after="160" w:line="278" w:lineRule="auto"/>
              <w:rPr>
                <w:lang w:val="en-US"/>
              </w:rPr>
            </w:pPr>
            <w:r w:rsidRPr="00DB55EA">
              <w:rPr>
                <w:lang w:val="en-US"/>
              </w:rPr>
              <w:t>Advocacy report projecting severe consequences of school meal retrenchment</w:t>
            </w:r>
          </w:p>
        </w:tc>
        <w:tc>
          <w:tcPr>
            <w:tcW w:w="2448" w:type="dxa"/>
            <w:tcBorders>
              <w:top w:val="single" w:sz="4" w:space="0" w:color="auto"/>
              <w:left w:val="single" w:sz="4" w:space="0" w:color="auto"/>
              <w:bottom w:val="single" w:sz="4" w:space="0" w:color="auto"/>
              <w:right w:val="single" w:sz="4" w:space="0" w:color="auto"/>
            </w:tcBorders>
            <w:hideMark/>
          </w:tcPr>
          <w:p w14:paraId="04DEC5AB" w14:textId="77777777" w:rsidR="00DB55EA" w:rsidRPr="00DB55EA" w:rsidRDefault="00DB55EA" w:rsidP="00DB55EA">
            <w:pPr>
              <w:spacing w:after="160" w:line="278" w:lineRule="auto"/>
              <w:rPr>
                <w:lang w:val="en-US"/>
              </w:rPr>
            </w:pPr>
            <w:r w:rsidRPr="00DB55EA">
              <w:rPr>
                <w:lang w:val="en-US"/>
              </w:rPr>
              <w:t>Advocacy / professional report</w:t>
            </w:r>
          </w:p>
        </w:tc>
        <w:tc>
          <w:tcPr>
            <w:tcW w:w="2448" w:type="dxa"/>
            <w:tcBorders>
              <w:top w:val="single" w:sz="4" w:space="0" w:color="auto"/>
              <w:left w:val="single" w:sz="4" w:space="0" w:color="auto"/>
              <w:bottom w:val="single" w:sz="4" w:space="0" w:color="auto"/>
              <w:right w:val="single" w:sz="4" w:space="0" w:color="auto"/>
            </w:tcBorders>
            <w:hideMark/>
          </w:tcPr>
          <w:p w14:paraId="7151DFB9" w14:textId="77777777" w:rsidR="00DB55EA" w:rsidRPr="00DB55EA" w:rsidRDefault="00DB55EA" w:rsidP="00DB55EA">
            <w:pPr>
              <w:spacing w:after="160" w:line="278" w:lineRule="auto"/>
              <w:rPr>
                <w:lang w:val="en-US"/>
              </w:rPr>
            </w:pPr>
            <w:r w:rsidRPr="00DB55EA">
              <w:rPr>
                <w:lang w:val="en-US"/>
              </w:rPr>
              <w:t>FRAC repository</w:t>
            </w:r>
          </w:p>
        </w:tc>
        <w:tc>
          <w:tcPr>
            <w:tcW w:w="2448" w:type="dxa"/>
            <w:tcBorders>
              <w:top w:val="single" w:sz="4" w:space="0" w:color="auto"/>
              <w:left w:val="single" w:sz="4" w:space="0" w:color="auto"/>
              <w:bottom w:val="single" w:sz="4" w:space="0" w:color="auto"/>
              <w:right w:val="single" w:sz="4" w:space="0" w:color="auto"/>
            </w:tcBorders>
            <w:hideMark/>
          </w:tcPr>
          <w:p w14:paraId="6D00BBA8" w14:textId="77777777" w:rsidR="00DB55EA" w:rsidRPr="00DB55EA" w:rsidRDefault="00DB55EA" w:rsidP="00DB55EA">
            <w:pPr>
              <w:spacing w:after="160" w:line="278" w:lineRule="auto"/>
              <w:rPr>
                <w:lang w:val="en-US"/>
              </w:rPr>
            </w:pPr>
            <w:r w:rsidRPr="00DB55EA">
              <w:rPr>
                <w:lang w:val="en-US"/>
              </w:rPr>
              <w:t>Frames potential child health and learning harms from policy rollback</w:t>
            </w:r>
          </w:p>
        </w:tc>
      </w:tr>
      <w:tr w:rsidR="00DB55EA" w:rsidRPr="00DB55EA" w14:paraId="5F824AD9" w14:textId="77777777">
        <w:tc>
          <w:tcPr>
            <w:tcW w:w="2448" w:type="dxa"/>
            <w:tcBorders>
              <w:top w:val="single" w:sz="4" w:space="0" w:color="auto"/>
              <w:left w:val="single" w:sz="4" w:space="0" w:color="auto"/>
              <w:bottom w:val="single" w:sz="4" w:space="0" w:color="auto"/>
              <w:right w:val="single" w:sz="4" w:space="0" w:color="auto"/>
            </w:tcBorders>
            <w:hideMark/>
          </w:tcPr>
          <w:p w14:paraId="471BBD5B" w14:textId="77777777" w:rsidR="00DB55EA" w:rsidRPr="00DB55EA" w:rsidRDefault="00DB55EA" w:rsidP="00DB55EA">
            <w:pPr>
              <w:spacing w:after="160" w:line="278" w:lineRule="auto"/>
              <w:rPr>
                <w:lang w:val="en-US"/>
              </w:rPr>
            </w:pPr>
            <w:r w:rsidRPr="00DB55EA">
              <w:rPr>
                <w:lang w:val="en-US"/>
              </w:rPr>
              <w:t>Miller, D. / LiveNOW from FOX (2025)</w:t>
            </w:r>
          </w:p>
        </w:tc>
        <w:tc>
          <w:tcPr>
            <w:tcW w:w="2448" w:type="dxa"/>
            <w:tcBorders>
              <w:top w:val="single" w:sz="4" w:space="0" w:color="auto"/>
              <w:left w:val="single" w:sz="4" w:space="0" w:color="auto"/>
              <w:bottom w:val="single" w:sz="4" w:space="0" w:color="auto"/>
              <w:right w:val="single" w:sz="4" w:space="0" w:color="auto"/>
            </w:tcBorders>
            <w:hideMark/>
          </w:tcPr>
          <w:p w14:paraId="0E3C1963" w14:textId="77777777" w:rsidR="00DB55EA" w:rsidRPr="00DB55EA" w:rsidRDefault="00DB55EA" w:rsidP="00DB55EA">
            <w:pPr>
              <w:spacing w:after="160" w:line="278" w:lineRule="auto"/>
              <w:rPr>
                <w:lang w:val="en-US"/>
              </w:rPr>
            </w:pPr>
            <w:r w:rsidRPr="00DB55EA">
              <w:rPr>
                <w:lang w:val="en-US"/>
              </w:rPr>
              <w:t>Coverage of termination of LFS and LFPA funding</w:t>
            </w:r>
          </w:p>
        </w:tc>
        <w:tc>
          <w:tcPr>
            <w:tcW w:w="2448" w:type="dxa"/>
            <w:tcBorders>
              <w:top w:val="single" w:sz="4" w:space="0" w:color="auto"/>
              <w:left w:val="single" w:sz="4" w:space="0" w:color="auto"/>
              <w:bottom w:val="single" w:sz="4" w:space="0" w:color="auto"/>
              <w:right w:val="single" w:sz="4" w:space="0" w:color="auto"/>
            </w:tcBorders>
            <w:hideMark/>
          </w:tcPr>
          <w:p w14:paraId="32A6AFD3" w14:textId="77777777" w:rsidR="00DB55EA" w:rsidRPr="00DB55EA" w:rsidRDefault="00DB55EA" w:rsidP="00DB55EA">
            <w:pPr>
              <w:spacing w:after="160" w:line="278" w:lineRule="auto"/>
              <w:rPr>
                <w:lang w:val="en-US"/>
              </w:rPr>
            </w:pPr>
            <w:r w:rsidRPr="00DB55EA">
              <w:rPr>
                <w:lang w:val="en-US"/>
              </w:rPr>
              <w:t>News media article</w:t>
            </w:r>
          </w:p>
        </w:tc>
        <w:tc>
          <w:tcPr>
            <w:tcW w:w="2448" w:type="dxa"/>
            <w:tcBorders>
              <w:top w:val="single" w:sz="4" w:space="0" w:color="auto"/>
              <w:left w:val="single" w:sz="4" w:space="0" w:color="auto"/>
              <w:bottom w:val="single" w:sz="4" w:space="0" w:color="auto"/>
              <w:right w:val="single" w:sz="4" w:space="0" w:color="auto"/>
            </w:tcBorders>
            <w:hideMark/>
          </w:tcPr>
          <w:p w14:paraId="3FB408B8" w14:textId="77777777" w:rsidR="00DB55EA" w:rsidRPr="00DB55EA" w:rsidRDefault="00DB55EA" w:rsidP="00DB55EA">
            <w:pPr>
              <w:spacing w:after="160" w:line="278" w:lineRule="auto"/>
              <w:rPr>
                <w:lang w:val="en-US"/>
              </w:rPr>
            </w:pPr>
            <w:r w:rsidRPr="00DB55EA">
              <w:rPr>
                <w:lang w:val="en-US"/>
              </w:rPr>
              <w:t>LiveNOW from FOX</w:t>
            </w:r>
          </w:p>
        </w:tc>
        <w:tc>
          <w:tcPr>
            <w:tcW w:w="2448" w:type="dxa"/>
            <w:tcBorders>
              <w:top w:val="single" w:sz="4" w:space="0" w:color="auto"/>
              <w:left w:val="single" w:sz="4" w:space="0" w:color="auto"/>
              <w:bottom w:val="single" w:sz="4" w:space="0" w:color="auto"/>
              <w:right w:val="single" w:sz="4" w:space="0" w:color="auto"/>
            </w:tcBorders>
            <w:hideMark/>
          </w:tcPr>
          <w:p w14:paraId="78BF573A" w14:textId="77777777" w:rsidR="00DB55EA" w:rsidRPr="00DB55EA" w:rsidRDefault="00DB55EA" w:rsidP="00DB55EA">
            <w:pPr>
              <w:spacing w:after="160" w:line="278" w:lineRule="auto"/>
              <w:rPr>
                <w:lang w:val="en-US"/>
              </w:rPr>
            </w:pPr>
            <w:r w:rsidRPr="00DB55EA">
              <w:rPr>
                <w:lang w:val="en-US"/>
              </w:rPr>
              <w:t>Captures public framing of federal funding cuts affecting school meals</w:t>
            </w:r>
          </w:p>
        </w:tc>
      </w:tr>
      <w:tr w:rsidR="00DB55EA" w:rsidRPr="00DB55EA" w14:paraId="23591826" w14:textId="77777777">
        <w:tc>
          <w:tcPr>
            <w:tcW w:w="2448" w:type="dxa"/>
            <w:tcBorders>
              <w:top w:val="single" w:sz="4" w:space="0" w:color="auto"/>
              <w:left w:val="single" w:sz="4" w:space="0" w:color="auto"/>
              <w:bottom w:val="single" w:sz="4" w:space="0" w:color="auto"/>
              <w:right w:val="single" w:sz="4" w:space="0" w:color="auto"/>
            </w:tcBorders>
            <w:hideMark/>
          </w:tcPr>
          <w:p w14:paraId="247E4D90" w14:textId="77777777" w:rsidR="00DB55EA" w:rsidRPr="00DB55EA" w:rsidRDefault="00DB55EA" w:rsidP="00DB55EA">
            <w:pPr>
              <w:spacing w:after="160" w:line="278" w:lineRule="auto"/>
              <w:rPr>
                <w:lang w:val="en-US"/>
              </w:rPr>
            </w:pPr>
            <w:r w:rsidRPr="00DB55EA">
              <w:rPr>
                <w:lang w:val="en-US"/>
              </w:rPr>
              <w:t>Picchi / CBS News (2025)</w:t>
            </w:r>
          </w:p>
        </w:tc>
        <w:tc>
          <w:tcPr>
            <w:tcW w:w="2448" w:type="dxa"/>
            <w:tcBorders>
              <w:top w:val="single" w:sz="4" w:space="0" w:color="auto"/>
              <w:left w:val="single" w:sz="4" w:space="0" w:color="auto"/>
              <w:bottom w:val="single" w:sz="4" w:space="0" w:color="auto"/>
              <w:right w:val="single" w:sz="4" w:space="0" w:color="auto"/>
            </w:tcBorders>
            <w:hideMark/>
          </w:tcPr>
          <w:p w14:paraId="1C7241EA" w14:textId="77777777" w:rsidR="00DB55EA" w:rsidRPr="00DB55EA" w:rsidRDefault="00DB55EA" w:rsidP="00DB55EA">
            <w:pPr>
              <w:spacing w:after="160" w:line="278" w:lineRule="auto"/>
              <w:rPr>
                <w:lang w:val="en-US"/>
              </w:rPr>
            </w:pPr>
            <w:r w:rsidRPr="00DB55EA">
              <w:rPr>
                <w:lang w:val="en-US"/>
              </w:rPr>
              <w:t>National coverage of federal school meal funding cuts</w:t>
            </w:r>
          </w:p>
        </w:tc>
        <w:tc>
          <w:tcPr>
            <w:tcW w:w="2448" w:type="dxa"/>
            <w:tcBorders>
              <w:top w:val="single" w:sz="4" w:space="0" w:color="auto"/>
              <w:left w:val="single" w:sz="4" w:space="0" w:color="auto"/>
              <w:bottom w:val="single" w:sz="4" w:space="0" w:color="auto"/>
              <w:right w:val="single" w:sz="4" w:space="0" w:color="auto"/>
            </w:tcBorders>
            <w:hideMark/>
          </w:tcPr>
          <w:p w14:paraId="6657751D" w14:textId="77777777" w:rsidR="00DB55EA" w:rsidRPr="00DB55EA" w:rsidRDefault="00DB55EA" w:rsidP="00DB55EA">
            <w:pPr>
              <w:spacing w:after="160" w:line="278" w:lineRule="auto"/>
              <w:rPr>
                <w:lang w:val="en-US"/>
              </w:rPr>
            </w:pPr>
            <w:r w:rsidRPr="00DB55EA">
              <w:rPr>
                <w:lang w:val="en-US"/>
              </w:rPr>
              <w:t>News media article</w:t>
            </w:r>
          </w:p>
        </w:tc>
        <w:tc>
          <w:tcPr>
            <w:tcW w:w="2448" w:type="dxa"/>
            <w:tcBorders>
              <w:top w:val="single" w:sz="4" w:space="0" w:color="auto"/>
              <w:left w:val="single" w:sz="4" w:space="0" w:color="auto"/>
              <w:bottom w:val="single" w:sz="4" w:space="0" w:color="auto"/>
              <w:right w:val="single" w:sz="4" w:space="0" w:color="auto"/>
            </w:tcBorders>
            <w:hideMark/>
          </w:tcPr>
          <w:p w14:paraId="4434C1D6" w14:textId="77777777" w:rsidR="00DB55EA" w:rsidRPr="00DB55EA" w:rsidRDefault="00DB55EA" w:rsidP="00DB55EA">
            <w:pPr>
              <w:spacing w:after="160" w:line="278" w:lineRule="auto"/>
              <w:rPr>
                <w:lang w:val="en-US"/>
              </w:rPr>
            </w:pPr>
            <w:r w:rsidRPr="00DB55EA">
              <w:rPr>
                <w:lang w:val="en-US"/>
              </w:rPr>
              <w:t>CBS News</w:t>
            </w:r>
          </w:p>
        </w:tc>
        <w:tc>
          <w:tcPr>
            <w:tcW w:w="2448" w:type="dxa"/>
            <w:tcBorders>
              <w:top w:val="single" w:sz="4" w:space="0" w:color="auto"/>
              <w:left w:val="single" w:sz="4" w:space="0" w:color="auto"/>
              <w:bottom w:val="single" w:sz="4" w:space="0" w:color="auto"/>
              <w:right w:val="single" w:sz="4" w:space="0" w:color="auto"/>
            </w:tcBorders>
            <w:hideMark/>
          </w:tcPr>
          <w:p w14:paraId="36FD0296" w14:textId="77777777" w:rsidR="00DB55EA" w:rsidRPr="00DB55EA" w:rsidRDefault="00DB55EA" w:rsidP="00DB55EA">
            <w:pPr>
              <w:spacing w:after="160" w:line="278" w:lineRule="auto"/>
              <w:rPr>
                <w:lang w:val="en-US"/>
              </w:rPr>
            </w:pPr>
            <w:r w:rsidRPr="00DB55EA">
              <w:rPr>
                <w:lang w:val="en-US"/>
              </w:rPr>
              <w:t xml:space="preserve">Reflects national discourse on school meal policy </w:t>
            </w:r>
          </w:p>
        </w:tc>
      </w:tr>
      <w:tr w:rsidR="00DB55EA" w:rsidRPr="00DB55EA" w14:paraId="24F1D2C8" w14:textId="77777777">
        <w:tc>
          <w:tcPr>
            <w:tcW w:w="2448" w:type="dxa"/>
            <w:tcBorders>
              <w:top w:val="single" w:sz="4" w:space="0" w:color="auto"/>
              <w:left w:val="single" w:sz="4" w:space="0" w:color="auto"/>
              <w:bottom w:val="single" w:sz="4" w:space="0" w:color="auto"/>
              <w:right w:val="single" w:sz="4" w:space="0" w:color="auto"/>
            </w:tcBorders>
            <w:hideMark/>
          </w:tcPr>
          <w:p w14:paraId="2C00339C" w14:textId="77777777" w:rsidR="00DB55EA" w:rsidRPr="00DB55EA" w:rsidRDefault="00DB55EA" w:rsidP="00DB55EA">
            <w:pPr>
              <w:spacing w:after="160" w:line="278" w:lineRule="auto"/>
              <w:rPr>
                <w:lang w:val="en-US"/>
              </w:rPr>
            </w:pPr>
            <w:r w:rsidRPr="00DB55EA">
              <w:rPr>
                <w:lang w:val="en-US"/>
              </w:rPr>
              <w:t>Gross / NJ Spotlight News (2025)</w:t>
            </w:r>
          </w:p>
        </w:tc>
        <w:tc>
          <w:tcPr>
            <w:tcW w:w="2448" w:type="dxa"/>
            <w:tcBorders>
              <w:top w:val="single" w:sz="4" w:space="0" w:color="auto"/>
              <w:left w:val="single" w:sz="4" w:space="0" w:color="auto"/>
              <w:bottom w:val="single" w:sz="4" w:space="0" w:color="auto"/>
              <w:right w:val="single" w:sz="4" w:space="0" w:color="auto"/>
            </w:tcBorders>
            <w:hideMark/>
          </w:tcPr>
          <w:p w14:paraId="1EC8BE4B" w14:textId="77777777" w:rsidR="00DB55EA" w:rsidRPr="00DB55EA" w:rsidRDefault="00DB55EA" w:rsidP="00DB55EA">
            <w:pPr>
              <w:spacing w:after="160" w:line="278" w:lineRule="auto"/>
              <w:rPr>
                <w:lang w:val="en-US"/>
              </w:rPr>
            </w:pPr>
            <w:r w:rsidRPr="00DB55EA">
              <w:rPr>
                <w:lang w:val="en-US"/>
              </w:rPr>
              <w:t>State media reporting on anticipated impacts of SNAP and Medicaid changes on schools</w:t>
            </w:r>
          </w:p>
        </w:tc>
        <w:tc>
          <w:tcPr>
            <w:tcW w:w="2448" w:type="dxa"/>
            <w:tcBorders>
              <w:top w:val="single" w:sz="4" w:space="0" w:color="auto"/>
              <w:left w:val="single" w:sz="4" w:space="0" w:color="auto"/>
              <w:bottom w:val="single" w:sz="4" w:space="0" w:color="auto"/>
              <w:right w:val="single" w:sz="4" w:space="0" w:color="auto"/>
            </w:tcBorders>
            <w:hideMark/>
          </w:tcPr>
          <w:p w14:paraId="1638F5D3" w14:textId="77777777" w:rsidR="00DB55EA" w:rsidRPr="00DB55EA" w:rsidRDefault="00DB55EA" w:rsidP="00DB55EA">
            <w:pPr>
              <w:spacing w:after="160" w:line="278" w:lineRule="auto"/>
              <w:rPr>
                <w:lang w:val="en-US"/>
              </w:rPr>
            </w:pPr>
            <w:r w:rsidRPr="00DB55EA">
              <w:rPr>
                <w:lang w:val="en-US"/>
              </w:rPr>
              <w:t>News media article</w:t>
            </w:r>
          </w:p>
        </w:tc>
        <w:tc>
          <w:tcPr>
            <w:tcW w:w="2448" w:type="dxa"/>
            <w:tcBorders>
              <w:top w:val="single" w:sz="4" w:space="0" w:color="auto"/>
              <w:left w:val="single" w:sz="4" w:space="0" w:color="auto"/>
              <w:bottom w:val="single" w:sz="4" w:space="0" w:color="auto"/>
              <w:right w:val="single" w:sz="4" w:space="0" w:color="auto"/>
            </w:tcBorders>
            <w:hideMark/>
          </w:tcPr>
          <w:p w14:paraId="223B6A6F" w14:textId="77777777" w:rsidR="00DB55EA" w:rsidRPr="00DB55EA" w:rsidRDefault="00DB55EA" w:rsidP="00DB55EA">
            <w:pPr>
              <w:spacing w:after="160" w:line="278" w:lineRule="auto"/>
              <w:rPr>
                <w:lang w:val="en-US"/>
              </w:rPr>
            </w:pPr>
            <w:r w:rsidRPr="00DB55EA">
              <w:rPr>
                <w:lang w:val="en-US"/>
              </w:rPr>
              <w:t>State or regional media outlet</w:t>
            </w:r>
          </w:p>
        </w:tc>
        <w:tc>
          <w:tcPr>
            <w:tcW w:w="2448" w:type="dxa"/>
            <w:tcBorders>
              <w:top w:val="single" w:sz="4" w:space="0" w:color="auto"/>
              <w:left w:val="single" w:sz="4" w:space="0" w:color="auto"/>
              <w:bottom w:val="single" w:sz="4" w:space="0" w:color="auto"/>
              <w:right w:val="single" w:sz="4" w:space="0" w:color="auto"/>
            </w:tcBorders>
            <w:hideMark/>
          </w:tcPr>
          <w:p w14:paraId="5C6EE270" w14:textId="77777777" w:rsidR="00DB55EA" w:rsidRPr="00DB55EA" w:rsidRDefault="00DB55EA" w:rsidP="00DB55EA">
            <w:pPr>
              <w:spacing w:after="160" w:line="278" w:lineRule="auto"/>
              <w:rPr>
                <w:lang w:val="en-US"/>
              </w:rPr>
            </w:pPr>
            <w:r w:rsidRPr="00DB55EA">
              <w:rPr>
                <w:lang w:val="en-US"/>
              </w:rPr>
              <w:t>Illustrates localized expectations of health and learning impacts</w:t>
            </w:r>
          </w:p>
        </w:tc>
      </w:tr>
    </w:tbl>
    <w:p w14:paraId="6C30124D" w14:textId="77777777" w:rsidR="00DB55EA" w:rsidRPr="00DB55EA" w:rsidRDefault="00DB55EA" w:rsidP="00DB55EA">
      <w:pPr>
        <w:rPr>
          <w:lang w:val="en-US"/>
        </w:rPr>
      </w:pPr>
    </w:p>
    <w:p w14:paraId="0B3B1767" w14:textId="77777777" w:rsidR="00DB55EA" w:rsidRPr="00DB55EA" w:rsidRDefault="00DB55EA" w:rsidP="00DB55EA">
      <w:pPr>
        <w:rPr>
          <w:lang w:val="en-US"/>
        </w:rPr>
      </w:pPr>
      <w:r w:rsidRPr="00DB55EA">
        <w:rPr>
          <w:b/>
          <w:bCs/>
          <w:lang w:val="en-US"/>
        </w:rPr>
        <w:lastRenderedPageBreak/>
        <w:t>Note.</w:t>
      </w:r>
      <w:r w:rsidRPr="00DB55EA">
        <w:rPr>
          <w:lang w:val="en-US"/>
        </w:rPr>
        <w:t xml:space="preserve"> Advocacy and professional reports (e.g., Food Research &amp; Action Center and School Nutrition Association publications) are classified as policy</w:t>
      </w:r>
      <w:r w:rsidRPr="00DB55EA">
        <w:rPr>
          <w:lang w:val="en-US"/>
        </w:rPr>
        <w:noBreakHyphen/>
        <w:t>relevant documents due to their direct engagement with and interpretation of federal school meal policy. Federal policy</w:t>
      </w:r>
      <w:r w:rsidRPr="00DB55EA">
        <w:rPr>
          <w:lang w:val="en-US"/>
        </w:rPr>
        <w:noBreakHyphen/>
        <w:t>relevant documents include USDA rules, guidance, and federal budget or reconciliation texts affecting program eligibility or funding. News media articles were included to capture contemporaneous public discourse and framing during the 2025 federal policy cycle. Federal research and descriptive reports (e.g., ERS EIB</w:t>
      </w:r>
      <w:r w:rsidRPr="00DB55EA">
        <w:rPr>
          <w:rFonts w:ascii="Arial" w:hAnsi="Arial" w:cs="Arial"/>
          <w:lang w:val="en-US"/>
        </w:rPr>
        <w:t> </w:t>
      </w:r>
      <w:r w:rsidRPr="00DB55EA">
        <w:rPr>
          <w:lang w:val="en-US"/>
        </w:rPr>
        <w:t>279; CRS Report R48515) were reviewed for contextual understanding but were not included in the coded analytic corpus.</w:t>
      </w:r>
    </w:p>
    <w:p w14:paraId="74FD6E9B" w14:textId="77777777" w:rsidR="00DB55EA" w:rsidRPr="00DB55EA" w:rsidRDefault="00DB55EA" w:rsidP="00DB55EA">
      <w:pPr>
        <w:rPr>
          <w:lang w:val="en-US"/>
        </w:rPr>
      </w:pPr>
    </w:p>
    <w:p w14:paraId="3989263F" w14:textId="77777777" w:rsidR="00DB55EA" w:rsidRPr="00DB55EA" w:rsidRDefault="00DB55EA" w:rsidP="00DB55EA">
      <w:pPr>
        <w:rPr>
          <w:lang w:val="en-US"/>
        </w:rPr>
      </w:pPr>
    </w:p>
    <w:p w14:paraId="5D8D1521" w14:textId="77777777" w:rsidR="00DB55EA" w:rsidRPr="00DB55EA" w:rsidRDefault="00DB55EA" w:rsidP="00DB55EA">
      <w:pPr>
        <w:rPr>
          <w:b/>
          <w:bCs/>
          <w:lang w:val="en-US"/>
        </w:rPr>
      </w:pPr>
      <w:r w:rsidRPr="00DB55EA">
        <w:rPr>
          <w:b/>
          <w:bCs/>
          <w:lang w:val="en-US"/>
        </w:rPr>
        <w:t>Appendix B. Audit Trail of the Integrated Analysis Process</w:t>
      </w:r>
    </w:p>
    <w:p w14:paraId="08706F74" w14:textId="77777777" w:rsidR="00DB55EA" w:rsidRPr="00DB55EA" w:rsidRDefault="00DB55EA" w:rsidP="00DB55EA">
      <w:pPr>
        <w:rPr>
          <w:lang w:val="en-US"/>
        </w:rPr>
      </w:pPr>
      <w:r w:rsidRPr="00DB55EA">
        <w:rPr>
          <w:lang w:val="en-US"/>
        </w:rPr>
        <w:t xml:space="preserve">This appendix provides a transparent step-by-step narrative description of how the qualitative document analysis was conducted when integrating multiple analytic frameworks (WPR, MSF, and CDA), with interpretation informed by a Social Determinants of Health (SDOH) lens. It is included to clarify (1) how documents were read and analyzed systematically, (2) how Bacchi’s WPR approach, the Multiple Streams Framework, and critical discourse analysis were operationalized, and (3) how interpretations were integrated into the final themes reported in the Results section. </w:t>
      </w:r>
    </w:p>
    <w:p w14:paraId="5C706E29" w14:textId="77777777" w:rsidR="00DB55EA" w:rsidRPr="00DB55EA" w:rsidRDefault="00DB55EA" w:rsidP="00DB55EA">
      <w:pPr>
        <w:rPr>
          <w:b/>
          <w:bCs/>
          <w:lang w:val="en-US"/>
        </w:rPr>
      </w:pPr>
      <w:r w:rsidRPr="00DB55EA">
        <w:rPr>
          <w:b/>
          <w:bCs/>
          <w:lang w:val="en-US"/>
        </w:rPr>
        <w:t xml:space="preserve">B1. Analytic corpus and key documents </w:t>
      </w:r>
    </w:p>
    <w:p w14:paraId="603EFD80" w14:textId="77777777" w:rsidR="00DB55EA" w:rsidRPr="00DB55EA" w:rsidRDefault="00DB55EA" w:rsidP="00DB55EA">
      <w:pPr>
        <w:rPr>
          <w:lang w:val="en-US"/>
        </w:rPr>
      </w:pPr>
      <w:r w:rsidRPr="00DB55EA">
        <w:rPr>
          <w:lang w:val="en-US"/>
        </w:rPr>
        <w:t xml:space="preserve">The analytic corpus included federal policy texts and guidance, advocacy/professional reports, and national/state news media coverage. </w:t>
      </w:r>
    </w:p>
    <w:p w14:paraId="6B8FF2D6" w14:textId="77777777" w:rsidR="00DB55EA" w:rsidRPr="00DB55EA" w:rsidRDefault="00DB55EA" w:rsidP="00DB55EA">
      <w:pPr>
        <w:rPr>
          <w:b/>
          <w:bCs/>
          <w:lang w:val="en-US"/>
        </w:rPr>
      </w:pPr>
      <w:r w:rsidRPr="00DB55EA">
        <w:rPr>
          <w:b/>
          <w:bCs/>
          <w:lang w:val="en-US"/>
        </w:rPr>
        <w:t>B2. Step 1 — Familiarization (immersion and contextual reading)</w:t>
      </w:r>
    </w:p>
    <w:p w14:paraId="0C63E5B2" w14:textId="77777777" w:rsidR="00DB55EA" w:rsidRPr="00DB55EA" w:rsidRDefault="00DB55EA" w:rsidP="00DB55EA">
      <w:pPr>
        <w:rPr>
          <w:lang w:val="en-US"/>
        </w:rPr>
      </w:pPr>
      <w:r w:rsidRPr="00DB55EA">
        <w:rPr>
          <w:lang w:val="en-US"/>
        </w:rPr>
        <w:t>All documents in the analytic corpus were read in full multiple times to establish an overall understanding of (a) document purpose and audience, (b) policy mechanisms discussed (e.g., CEP thresholds, direct certification, eligibility verification, funding changes), and (c) how hunger, learning, and equity were framed, emphasized, or omitted across document types. This familiarization step ensured that coding was grounded in the documents’ internal logic and context rather than isolated quotations.</w:t>
      </w:r>
    </w:p>
    <w:p w14:paraId="6F6F8B25" w14:textId="77777777" w:rsidR="00DB55EA" w:rsidRPr="00DB55EA" w:rsidRDefault="00DB55EA" w:rsidP="00DB55EA">
      <w:pPr>
        <w:rPr>
          <w:b/>
          <w:bCs/>
          <w:lang w:val="en-US"/>
        </w:rPr>
      </w:pPr>
      <w:r w:rsidRPr="00DB55EA">
        <w:rPr>
          <w:b/>
          <w:bCs/>
          <w:lang w:val="en-US"/>
        </w:rPr>
        <w:t>B3. Step 2 — Excerpting (creating analysis-ready text units)</w:t>
      </w:r>
    </w:p>
    <w:p w14:paraId="2539EE19" w14:textId="77777777" w:rsidR="00DB55EA" w:rsidRPr="00DB55EA" w:rsidRDefault="00DB55EA" w:rsidP="00DB55EA">
      <w:pPr>
        <w:rPr>
          <w:lang w:val="en-US"/>
        </w:rPr>
      </w:pPr>
      <w:r w:rsidRPr="00DB55EA">
        <w:rPr>
          <w:lang w:val="en-US"/>
        </w:rPr>
        <w:t xml:space="preserve">After familiarization, each document was segmented into analysis-ready excerpts. Excerpts were defined as paragraphs (or short clusters of paragraphs) containing at least one of the following: (1) a problem definition or justification, (2) a description of eligibility or administrative mechanisms, (3) references to outcomes (hunger, learning, attendance, behavior, equity), or (4) language that legitimized or contested policy </w:t>
      </w:r>
      <w:r w:rsidRPr="00DB55EA">
        <w:rPr>
          <w:lang w:val="en-US"/>
        </w:rPr>
        <w:lastRenderedPageBreak/>
        <w:t>change. Each excerpt was retained with document metadata (source, year, document type) to enable cross-document comparison.</w:t>
      </w:r>
    </w:p>
    <w:p w14:paraId="3A6FFF09" w14:textId="77777777" w:rsidR="00DB55EA" w:rsidRPr="00DB55EA" w:rsidRDefault="00DB55EA" w:rsidP="00DB55EA">
      <w:pPr>
        <w:rPr>
          <w:b/>
          <w:bCs/>
          <w:lang w:val="en-US"/>
        </w:rPr>
      </w:pPr>
      <w:r w:rsidRPr="00DB55EA">
        <w:rPr>
          <w:b/>
          <w:bCs/>
          <w:lang w:val="en-US"/>
        </w:rPr>
        <w:t>B4. Step 3 — First-cycle coding (framework-guided)</w:t>
      </w:r>
    </w:p>
    <w:p w14:paraId="7597E0D2" w14:textId="77777777" w:rsidR="00DB55EA" w:rsidRPr="00DB55EA" w:rsidRDefault="00DB55EA" w:rsidP="00DB55EA">
      <w:pPr>
        <w:rPr>
          <w:lang w:val="en-US"/>
        </w:rPr>
      </w:pPr>
      <w:r w:rsidRPr="00DB55EA">
        <w:rPr>
          <w:lang w:val="en-US"/>
        </w:rPr>
        <w:t>Each excerpt was coded using a structured, first-cycle process. Codes were assigned under three linked lenses to maintain clarity while supporting integration:</w:t>
      </w:r>
    </w:p>
    <w:p w14:paraId="5E98CF59" w14:textId="77777777" w:rsidR="00DB55EA" w:rsidRPr="00DB55EA" w:rsidRDefault="00DB55EA" w:rsidP="00DB55EA">
      <w:pPr>
        <w:rPr>
          <w:lang w:val="en-US"/>
        </w:rPr>
      </w:pPr>
      <w:r w:rsidRPr="00DB55EA">
        <w:rPr>
          <w:b/>
          <w:lang w:val="en-US"/>
        </w:rPr>
        <w:t xml:space="preserve">WPR coding: </w:t>
      </w:r>
      <w:r w:rsidRPr="00DB55EA">
        <w:rPr>
          <w:lang w:val="en-US"/>
        </w:rPr>
        <w:t>Excerpts were coded for how they represented the ‘problem’ being addressed, what assumptions were embedded in that representation, what was left unproblematic or silent, and what effects the representation produced for access and equity.</w:t>
      </w:r>
    </w:p>
    <w:p w14:paraId="27577B4D" w14:textId="77777777" w:rsidR="00DB55EA" w:rsidRPr="00DB55EA" w:rsidRDefault="00DB55EA" w:rsidP="00DB55EA">
      <w:pPr>
        <w:rPr>
          <w:lang w:val="en-US"/>
        </w:rPr>
      </w:pPr>
      <w:r w:rsidRPr="00DB55EA">
        <w:rPr>
          <w:b/>
          <w:lang w:val="en-US"/>
        </w:rPr>
        <w:t xml:space="preserve">MSF coding: </w:t>
      </w:r>
      <w:r w:rsidRPr="00DB55EA">
        <w:rPr>
          <w:lang w:val="en-US"/>
        </w:rPr>
        <w:t>Excerpts were coded for problem stream indicators (what is treated as urgent/legitimate), policy stream content (solutions framed as feasible or infeasible), politics stream signals (budget constraints, political legitimacy, responsibility shifting), and evidence of coupling/decoupling across streams.</w:t>
      </w:r>
    </w:p>
    <w:p w14:paraId="6221F703" w14:textId="77777777" w:rsidR="00DB55EA" w:rsidRPr="00DB55EA" w:rsidRDefault="00DB55EA" w:rsidP="00DB55EA">
      <w:pPr>
        <w:rPr>
          <w:lang w:val="en-US"/>
        </w:rPr>
      </w:pPr>
      <w:r w:rsidRPr="00DB55EA">
        <w:rPr>
          <w:b/>
          <w:lang w:val="en-US"/>
        </w:rPr>
        <w:t xml:space="preserve">CDA coding: </w:t>
      </w:r>
      <w:r w:rsidRPr="00DB55EA">
        <w:rPr>
          <w:lang w:val="en-US"/>
        </w:rPr>
        <w:t>Excerpts were coded for lexical choices and evaluative terms (e.g., ‘fiscally responsible,’ ‘burdensome,’ ‘catastrophic’), framing devices (administrative vs health/learning frames), and how agency/responsibility were attributed (federal actors vs states/districts/families).</w:t>
      </w:r>
    </w:p>
    <w:p w14:paraId="4C0E1737" w14:textId="77777777" w:rsidR="00DB55EA" w:rsidRPr="00DB55EA" w:rsidRDefault="00DB55EA" w:rsidP="00DB55EA">
      <w:pPr>
        <w:rPr>
          <w:b/>
          <w:bCs/>
          <w:lang w:val="en-US"/>
        </w:rPr>
      </w:pPr>
      <w:r w:rsidRPr="00DB55EA">
        <w:rPr>
          <w:b/>
          <w:bCs/>
          <w:lang w:val="en-US"/>
        </w:rPr>
        <w:t>B5. Step 4 — Building descriptive patterns (within and across documents)</w:t>
      </w:r>
    </w:p>
    <w:p w14:paraId="539D6CC0" w14:textId="77777777" w:rsidR="00DB55EA" w:rsidRPr="00DB55EA" w:rsidRDefault="00DB55EA" w:rsidP="00DB55EA">
      <w:pPr>
        <w:rPr>
          <w:lang w:val="en-US"/>
        </w:rPr>
      </w:pPr>
      <w:r w:rsidRPr="00DB55EA">
        <w:rPr>
          <w:lang w:val="en-US"/>
        </w:rPr>
        <w:t>First-cycle codes were grouped into descriptive patterns that remained close to the text. Patterns were developed by comparing codes across document types (federal policy texts vs advocacy/professional texts vs news media) to identify recurring framings, recurring omissions, and recurring justifications.</w:t>
      </w:r>
    </w:p>
    <w:p w14:paraId="5961DE6F" w14:textId="77777777" w:rsidR="00DB55EA" w:rsidRPr="00DB55EA" w:rsidRDefault="00DB55EA" w:rsidP="00DB55EA">
      <w:pPr>
        <w:rPr>
          <w:b/>
          <w:bCs/>
          <w:lang w:val="en-US"/>
        </w:rPr>
      </w:pPr>
      <w:r w:rsidRPr="00DB55EA">
        <w:rPr>
          <w:b/>
          <w:bCs/>
          <w:lang w:val="en-US"/>
        </w:rPr>
        <w:t>B6. Step 5 — Integration across methods (from patterns to analytical themes)</w:t>
      </w:r>
    </w:p>
    <w:p w14:paraId="1A9F3C9E" w14:textId="77777777" w:rsidR="00DB55EA" w:rsidRPr="00DB55EA" w:rsidRDefault="00DB55EA" w:rsidP="00DB55EA">
      <w:pPr>
        <w:rPr>
          <w:lang w:val="en-US"/>
        </w:rPr>
      </w:pPr>
      <w:r w:rsidRPr="00DB55EA">
        <w:rPr>
          <w:lang w:val="en-US"/>
        </w:rPr>
        <w:t>Descriptive patterns were elevated into analytical themes when they (a) recurred across multiple documents, (b) were supported by evidence from more than one analytic lens (e.g., WPR + MSF, WPR + CDA), and (c) directly addressed the study aim regarding evidence–policy alignment and equity implications. Integration was treated as a single analytic workflow: WPR established how the policy problem was constructed, MSF situated why certain framings gained agenda traction, and CDA explained how language normalized or contested retrenchment. Interpretation was informed by the SDOH distinction between structural determinants (policy/eligibility regimes) and intermediary determinants (material access to food affecting learning readiness).</w:t>
      </w:r>
    </w:p>
    <w:p w14:paraId="69E52946" w14:textId="77777777" w:rsidR="00DB55EA" w:rsidRPr="00DB55EA" w:rsidRDefault="00DB55EA" w:rsidP="00DB55EA">
      <w:pPr>
        <w:rPr>
          <w:b/>
          <w:bCs/>
          <w:lang w:val="en-US"/>
        </w:rPr>
      </w:pPr>
      <w:r w:rsidRPr="00DB55EA">
        <w:rPr>
          <w:b/>
          <w:bCs/>
          <w:lang w:val="en-US"/>
        </w:rPr>
        <w:t>B7. Step 6 — Worked excerpt example (excerpt to codes to pattern to analytical theme)</w:t>
      </w:r>
    </w:p>
    <w:p w14:paraId="176D6542" w14:textId="77777777" w:rsidR="00DB55EA" w:rsidRPr="00DB55EA" w:rsidRDefault="00DB55EA" w:rsidP="00DB55EA">
      <w:pPr>
        <w:rPr>
          <w:lang w:val="en-US"/>
        </w:rPr>
      </w:pPr>
      <w:r w:rsidRPr="00DB55EA">
        <w:rPr>
          <w:lang w:val="en-US"/>
        </w:rPr>
        <w:lastRenderedPageBreak/>
        <w:t>To demonstrate traceability, the example below shows how one excerpt was treated as a unit of analysis and coded across frameworks. This worked example is illustrative of how the integrated method was applied across the corpus.</w:t>
      </w:r>
    </w:p>
    <w:p w14:paraId="5AD24DFF" w14:textId="77777777" w:rsidR="00DB55EA" w:rsidRPr="00DB55EA" w:rsidRDefault="00DB55EA" w:rsidP="00DB55EA">
      <w:pPr>
        <w:rPr>
          <w:b/>
          <w:lang w:val="en-US"/>
        </w:rPr>
      </w:pPr>
      <w:r w:rsidRPr="00DB55EA">
        <w:rPr>
          <w:b/>
          <w:lang w:val="en-US"/>
        </w:rPr>
        <w:t xml:space="preserve">Source excerpt (FRAC &amp; CBPP, 2025): </w:t>
      </w:r>
    </w:p>
    <w:p w14:paraId="5107123E" w14:textId="77777777" w:rsidR="00DB55EA" w:rsidRPr="00DB55EA" w:rsidRDefault="00DB55EA" w:rsidP="00DB55EA">
      <w:pPr>
        <w:rPr>
          <w:i/>
          <w:iCs/>
          <w:lang w:val="en-US"/>
        </w:rPr>
      </w:pPr>
      <w:r w:rsidRPr="00DB55EA">
        <w:rPr>
          <w:i/>
          <w:iCs/>
          <w:lang w:val="en-US"/>
        </w:rPr>
        <w:t>"Despite its undeniable benefits, some lawmakers want to weaken community eligibility during the 2025 budget reconciliation. Their proposal would force more than 24,000 schools nationwide, serving more than 12 million children, to drop CEP."</w:t>
      </w:r>
    </w:p>
    <w:p w14:paraId="1753AFDD" w14:textId="77777777" w:rsidR="00DB55EA" w:rsidRPr="00DB55EA" w:rsidRDefault="00DB55EA" w:rsidP="00DB55EA">
      <w:pPr>
        <w:rPr>
          <w:lang w:val="en-US"/>
        </w:rPr>
      </w:pPr>
      <w:r w:rsidRPr="00DB55EA">
        <w:rPr>
          <w:b/>
          <w:lang w:val="en-US"/>
        </w:rPr>
        <w:t xml:space="preserve">WPR code: </w:t>
      </w:r>
      <w:r w:rsidRPr="00DB55EA">
        <w:rPr>
          <w:lang w:val="en-US"/>
        </w:rPr>
        <w:t>Policy change represented as fiscal/administrative adjustment with access loss positioned as an acceptable trade-off; equity effects implied rather than centered.</w:t>
      </w:r>
    </w:p>
    <w:p w14:paraId="008E74E0" w14:textId="77777777" w:rsidR="00DB55EA" w:rsidRPr="00DB55EA" w:rsidRDefault="00DB55EA" w:rsidP="00DB55EA">
      <w:pPr>
        <w:rPr>
          <w:lang w:val="en-US"/>
        </w:rPr>
      </w:pPr>
      <w:r w:rsidRPr="00DB55EA">
        <w:rPr>
          <w:b/>
          <w:lang w:val="en-US"/>
        </w:rPr>
        <w:t xml:space="preserve">MSF code: </w:t>
      </w:r>
      <w:r w:rsidRPr="00DB55EA">
        <w:rPr>
          <w:lang w:val="en-US"/>
        </w:rPr>
        <w:t>Problem stream dominated by budget reconciliation priorities; policy stream narrows to eligibility restriction/verification proposals; politics stream signals feasibility through fiscal constraint narratives.</w:t>
      </w:r>
    </w:p>
    <w:p w14:paraId="742662B4" w14:textId="77777777" w:rsidR="00DB55EA" w:rsidRPr="00DB55EA" w:rsidRDefault="00DB55EA" w:rsidP="00DB55EA">
      <w:pPr>
        <w:rPr>
          <w:lang w:val="en-US"/>
        </w:rPr>
      </w:pPr>
      <w:r w:rsidRPr="00DB55EA">
        <w:rPr>
          <w:b/>
          <w:lang w:val="en-US"/>
        </w:rPr>
        <w:t xml:space="preserve">CDA code: </w:t>
      </w:r>
      <w:r w:rsidRPr="00DB55EA">
        <w:rPr>
          <w:lang w:val="en-US"/>
        </w:rPr>
        <w:t>Legitimating language (‘budget reconciliation’) positions retrenchment as procedural necessity; numerical scale emphasizes magnitude and dramatizes risk in counter-framing.</w:t>
      </w:r>
    </w:p>
    <w:p w14:paraId="7FA58F78" w14:textId="77777777" w:rsidR="00DB55EA" w:rsidRPr="00DB55EA" w:rsidRDefault="00DB55EA" w:rsidP="00DB55EA">
      <w:pPr>
        <w:rPr>
          <w:lang w:val="en-US"/>
        </w:rPr>
      </w:pPr>
      <w:r w:rsidRPr="00DB55EA">
        <w:rPr>
          <w:b/>
          <w:lang w:val="en-US"/>
        </w:rPr>
        <w:t xml:space="preserve">Descriptive pattern: </w:t>
      </w:r>
      <w:r w:rsidRPr="00DB55EA">
        <w:rPr>
          <w:lang w:val="en-US"/>
        </w:rPr>
        <w:t>Retrenchment framed as administrative/fiscal recalibration that would remove large numbers of schools from universal access mechanisms.</w:t>
      </w:r>
    </w:p>
    <w:p w14:paraId="0D7DF28C" w14:textId="77777777" w:rsidR="00DB55EA" w:rsidRPr="00DB55EA" w:rsidRDefault="00DB55EA" w:rsidP="00DB55EA">
      <w:pPr>
        <w:rPr>
          <w:lang w:val="en-US"/>
        </w:rPr>
      </w:pPr>
      <w:r w:rsidRPr="00DB55EA">
        <w:rPr>
          <w:b/>
          <w:lang w:val="en-US"/>
        </w:rPr>
        <w:t xml:space="preserve">Analytical theme (reported in Results): </w:t>
      </w:r>
      <w:r w:rsidRPr="00DB55EA">
        <w:rPr>
          <w:lang w:val="en-US"/>
        </w:rPr>
        <w:t>Federal problem definitions privilege fiscal/administrative frames, while health and learning harms are emphasized primarily in non-federal discourse, sustaining an evidence–policy gap.</w:t>
      </w:r>
    </w:p>
    <w:p w14:paraId="33CE9364" w14:textId="77777777" w:rsidR="00DB55EA" w:rsidRPr="00DB55EA" w:rsidRDefault="00DB55EA" w:rsidP="00DB55EA">
      <w:pPr>
        <w:rPr>
          <w:b/>
          <w:bCs/>
          <w:lang w:val="en-US"/>
        </w:rPr>
      </w:pPr>
      <w:r w:rsidRPr="00DB55EA">
        <w:rPr>
          <w:b/>
          <w:bCs/>
          <w:lang w:val="en-US"/>
        </w:rPr>
        <w:t>B8. How the tables relate to this audit trail</w:t>
      </w:r>
    </w:p>
    <w:p w14:paraId="16F93574" w14:textId="77777777" w:rsidR="00DB55EA" w:rsidRPr="00DB55EA" w:rsidRDefault="00DB55EA" w:rsidP="00DB55EA">
      <w:pPr>
        <w:rPr>
          <w:lang w:val="en-US"/>
        </w:rPr>
      </w:pPr>
      <w:r w:rsidRPr="00DB55EA">
        <w:rPr>
          <w:lang w:val="en-US"/>
        </w:rPr>
        <w:t>Table 1, in the Methods section, summarizes the overall analytic sequence. Appendix Table C provides additional worked examples of excerpt-to-theme progression. Appendix D maps analytic frameworks to research objectives and analytic questions, showing how WPR, MSF, CDA, and the SDOH lens jointly supported the study’s aims.</w:t>
      </w:r>
    </w:p>
    <w:p w14:paraId="7184599C" w14:textId="77777777" w:rsidR="00DB55EA" w:rsidRPr="00DB55EA" w:rsidRDefault="00DB55EA" w:rsidP="00DB55EA">
      <w:pPr>
        <w:rPr>
          <w:lang w:val="en-US"/>
        </w:rPr>
      </w:pPr>
    </w:p>
    <w:p w14:paraId="7D6EB7E5" w14:textId="77777777" w:rsidR="00DB55EA" w:rsidRPr="00DB55EA" w:rsidRDefault="00DB55EA" w:rsidP="00DB55EA">
      <w:pPr>
        <w:rPr>
          <w:b/>
          <w:bCs/>
          <w:lang w:val="en-US"/>
        </w:rPr>
      </w:pPr>
      <w:r w:rsidRPr="00DB55EA">
        <w:rPr>
          <w:b/>
          <w:bCs/>
          <w:lang w:val="en-US"/>
        </w:rPr>
        <w:t>Appendix C. Example of Analytic Progression From Text to Analytical Theme</w:t>
      </w:r>
    </w:p>
    <w:p w14:paraId="1B91C0B5" w14:textId="77777777" w:rsidR="00DB55EA" w:rsidRPr="00DB55EA" w:rsidRDefault="00DB55EA" w:rsidP="00DB55EA">
      <w:pPr>
        <w:rPr>
          <w:b/>
          <w:bCs/>
          <w:lang w:val="en-US"/>
        </w:rPr>
      </w:pPr>
      <w:r w:rsidRPr="00DB55EA">
        <w:rPr>
          <w:lang w:val="en-US"/>
        </w:rPr>
        <w:t>Appendix C provides a worked example illustrating how interpretation progressed from text excerpts to analytical themes.</w:t>
      </w:r>
    </w:p>
    <w:p w14:paraId="419AA49D" w14:textId="77777777" w:rsidR="00DB55EA" w:rsidRPr="00DB55EA" w:rsidRDefault="00DB55EA" w:rsidP="00DB55EA">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1859"/>
        <w:gridCol w:w="1783"/>
        <w:gridCol w:w="1878"/>
        <w:gridCol w:w="1649"/>
      </w:tblGrid>
      <w:tr w:rsidR="00DB55EA" w:rsidRPr="00DB55EA" w14:paraId="38035CCA" w14:textId="77777777">
        <w:tc>
          <w:tcPr>
            <w:tcW w:w="2448" w:type="dxa"/>
            <w:tcBorders>
              <w:top w:val="single" w:sz="4" w:space="0" w:color="auto"/>
              <w:left w:val="single" w:sz="4" w:space="0" w:color="auto"/>
              <w:bottom w:val="single" w:sz="4" w:space="0" w:color="auto"/>
              <w:right w:val="single" w:sz="4" w:space="0" w:color="auto"/>
            </w:tcBorders>
            <w:hideMark/>
          </w:tcPr>
          <w:p w14:paraId="64A9F21A" w14:textId="77777777" w:rsidR="00DB55EA" w:rsidRPr="00DB55EA" w:rsidRDefault="00DB55EA" w:rsidP="00DB55EA">
            <w:pPr>
              <w:rPr>
                <w:b/>
                <w:bCs/>
                <w:lang w:val="en-US"/>
              </w:rPr>
            </w:pPr>
            <w:r w:rsidRPr="00DB55EA">
              <w:rPr>
                <w:b/>
                <w:bCs/>
                <w:lang w:val="en-US"/>
              </w:rPr>
              <w:t>Text excerpt</w:t>
            </w:r>
          </w:p>
        </w:tc>
        <w:tc>
          <w:tcPr>
            <w:tcW w:w="2448" w:type="dxa"/>
            <w:tcBorders>
              <w:top w:val="single" w:sz="4" w:space="0" w:color="auto"/>
              <w:left w:val="single" w:sz="4" w:space="0" w:color="auto"/>
              <w:bottom w:val="single" w:sz="4" w:space="0" w:color="auto"/>
              <w:right w:val="single" w:sz="4" w:space="0" w:color="auto"/>
            </w:tcBorders>
            <w:hideMark/>
          </w:tcPr>
          <w:p w14:paraId="66B9ABD4" w14:textId="77777777" w:rsidR="00DB55EA" w:rsidRPr="00DB55EA" w:rsidRDefault="00DB55EA" w:rsidP="00DB55EA">
            <w:pPr>
              <w:rPr>
                <w:b/>
                <w:bCs/>
                <w:lang w:val="en-US"/>
              </w:rPr>
            </w:pPr>
            <w:r w:rsidRPr="00DB55EA">
              <w:rPr>
                <w:b/>
                <w:bCs/>
                <w:lang w:val="en-US"/>
              </w:rPr>
              <w:t>Initial analytic code</w:t>
            </w:r>
          </w:p>
        </w:tc>
        <w:tc>
          <w:tcPr>
            <w:tcW w:w="2448" w:type="dxa"/>
            <w:tcBorders>
              <w:top w:val="single" w:sz="4" w:space="0" w:color="auto"/>
              <w:left w:val="single" w:sz="4" w:space="0" w:color="auto"/>
              <w:bottom w:val="single" w:sz="4" w:space="0" w:color="auto"/>
              <w:right w:val="single" w:sz="4" w:space="0" w:color="auto"/>
            </w:tcBorders>
            <w:hideMark/>
          </w:tcPr>
          <w:p w14:paraId="7C01E2CA" w14:textId="77777777" w:rsidR="00DB55EA" w:rsidRPr="00DB55EA" w:rsidRDefault="00DB55EA" w:rsidP="00DB55EA">
            <w:pPr>
              <w:rPr>
                <w:b/>
                <w:bCs/>
                <w:lang w:val="en-US"/>
              </w:rPr>
            </w:pPr>
            <w:r w:rsidRPr="00DB55EA">
              <w:rPr>
                <w:b/>
                <w:bCs/>
                <w:lang w:val="en-US"/>
              </w:rPr>
              <w:t>Descriptive pattern</w:t>
            </w:r>
          </w:p>
        </w:tc>
        <w:tc>
          <w:tcPr>
            <w:tcW w:w="2448" w:type="dxa"/>
            <w:tcBorders>
              <w:top w:val="single" w:sz="4" w:space="0" w:color="auto"/>
              <w:left w:val="single" w:sz="4" w:space="0" w:color="auto"/>
              <w:bottom w:val="single" w:sz="4" w:space="0" w:color="auto"/>
              <w:right w:val="single" w:sz="4" w:space="0" w:color="auto"/>
            </w:tcBorders>
            <w:hideMark/>
          </w:tcPr>
          <w:p w14:paraId="6F666C78" w14:textId="77777777" w:rsidR="00DB55EA" w:rsidRPr="00DB55EA" w:rsidRDefault="00DB55EA" w:rsidP="00DB55EA">
            <w:pPr>
              <w:rPr>
                <w:b/>
                <w:bCs/>
                <w:lang w:val="en-US"/>
              </w:rPr>
            </w:pPr>
            <w:r w:rsidRPr="00DB55EA">
              <w:rPr>
                <w:b/>
                <w:bCs/>
                <w:lang w:val="en-US"/>
              </w:rPr>
              <w:t>Analytical interpretation</w:t>
            </w:r>
          </w:p>
        </w:tc>
        <w:tc>
          <w:tcPr>
            <w:tcW w:w="2448" w:type="dxa"/>
            <w:tcBorders>
              <w:top w:val="single" w:sz="4" w:space="0" w:color="auto"/>
              <w:left w:val="single" w:sz="4" w:space="0" w:color="auto"/>
              <w:bottom w:val="single" w:sz="4" w:space="0" w:color="auto"/>
              <w:right w:val="single" w:sz="4" w:space="0" w:color="auto"/>
            </w:tcBorders>
            <w:hideMark/>
          </w:tcPr>
          <w:p w14:paraId="475C38FF" w14:textId="77777777" w:rsidR="00DB55EA" w:rsidRPr="00DB55EA" w:rsidRDefault="00DB55EA" w:rsidP="00DB55EA">
            <w:pPr>
              <w:rPr>
                <w:b/>
                <w:bCs/>
                <w:lang w:val="en-US"/>
              </w:rPr>
            </w:pPr>
            <w:r w:rsidRPr="00DB55EA">
              <w:rPr>
                <w:b/>
                <w:bCs/>
                <w:lang w:val="en-US"/>
              </w:rPr>
              <w:t>Framework</w:t>
            </w:r>
          </w:p>
        </w:tc>
      </w:tr>
      <w:tr w:rsidR="00DB55EA" w:rsidRPr="00DB55EA" w14:paraId="595AFE28" w14:textId="77777777">
        <w:tc>
          <w:tcPr>
            <w:tcW w:w="2448" w:type="dxa"/>
            <w:tcBorders>
              <w:top w:val="single" w:sz="4" w:space="0" w:color="auto"/>
              <w:left w:val="single" w:sz="4" w:space="0" w:color="auto"/>
              <w:bottom w:val="single" w:sz="4" w:space="0" w:color="auto"/>
              <w:right w:val="single" w:sz="4" w:space="0" w:color="auto"/>
            </w:tcBorders>
            <w:hideMark/>
          </w:tcPr>
          <w:p w14:paraId="740B762A" w14:textId="77777777" w:rsidR="00DB55EA" w:rsidRPr="00DB55EA" w:rsidRDefault="00DB55EA" w:rsidP="00DB55EA">
            <w:pPr>
              <w:rPr>
                <w:lang w:val="en-US"/>
              </w:rPr>
            </w:pPr>
            <w:r w:rsidRPr="00DB55EA">
              <w:rPr>
                <w:lang w:val="en-US"/>
              </w:rPr>
              <w:lastRenderedPageBreak/>
              <w:t>‘Termination of Local Food for Schools agreements reflects fiscal responsibility.’ (Federal policy text, 2025)</w:t>
            </w:r>
          </w:p>
        </w:tc>
        <w:tc>
          <w:tcPr>
            <w:tcW w:w="2448" w:type="dxa"/>
            <w:tcBorders>
              <w:top w:val="single" w:sz="4" w:space="0" w:color="auto"/>
              <w:left w:val="single" w:sz="4" w:space="0" w:color="auto"/>
              <w:bottom w:val="single" w:sz="4" w:space="0" w:color="auto"/>
              <w:right w:val="single" w:sz="4" w:space="0" w:color="auto"/>
            </w:tcBorders>
            <w:hideMark/>
          </w:tcPr>
          <w:p w14:paraId="76C11FB7" w14:textId="77777777" w:rsidR="00DB55EA" w:rsidRPr="00DB55EA" w:rsidRDefault="00DB55EA" w:rsidP="00DB55EA">
            <w:pPr>
              <w:rPr>
                <w:lang w:val="en-US"/>
              </w:rPr>
            </w:pPr>
            <w:r w:rsidRPr="00DB55EA">
              <w:rPr>
                <w:lang w:val="en-US"/>
              </w:rPr>
              <w:t>Fiscal responsibility emphasis</w:t>
            </w:r>
          </w:p>
        </w:tc>
        <w:tc>
          <w:tcPr>
            <w:tcW w:w="2448" w:type="dxa"/>
            <w:tcBorders>
              <w:top w:val="single" w:sz="4" w:space="0" w:color="auto"/>
              <w:left w:val="single" w:sz="4" w:space="0" w:color="auto"/>
              <w:bottom w:val="single" w:sz="4" w:space="0" w:color="auto"/>
              <w:right w:val="single" w:sz="4" w:space="0" w:color="auto"/>
            </w:tcBorders>
            <w:hideMark/>
          </w:tcPr>
          <w:p w14:paraId="69EAB66D" w14:textId="77777777" w:rsidR="00DB55EA" w:rsidRPr="00DB55EA" w:rsidRDefault="00DB55EA" w:rsidP="00DB55EA">
            <w:pPr>
              <w:rPr>
                <w:lang w:val="en-US"/>
              </w:rPr>
            </w:pPr>
            <w:r w:rsidRPr="00DB55EA">
              <w:rPr>
                <w:lang w:val="en-US"/>
              </w:rPr>
              <w:t>Fiscal framing of access</w:t>
            </w:r>
          </w:p>
        </w:tc>
        <w:tc>
          <w:tcPr>
            <w:tcW w:w="2448" w:type="dxa"/>
            <w:tcBorders>
              <w:top w:val="single" w:sz="4" w:space="0" w:color="auto"/>
              <w:left w:val="single" w:sz="4" w:space="0" w:color="auto"/>
              <w:bottom w:val="single" w:sz="4" w:space="0" w:color="auto"/>
              <w:right w:val="single" w:sz="4" w:space="0" w:color="auto"/>
            </w:tcBorders>
            <w:hideMark/>
          </w:tcPr>
          <w:p w14:paraId="6C6552AE" w14:textId="77777777" w:rsidR="00DB55EA" w:rsidRPr="00DB55EA" w:rsidRDefault="00DB55EA" w:rsidP="00DB55EA">
            <w:pPr>
              <w:rPr>
                <w:lang w:val="en-US"/>
              </w:rPr>
            </w:pPr>
            <w:r w:rsidRPr="00DB55EA">
              <w:rPr>
                <w:lang w:val="en-US"/>
              </w:rPr>
              <w:t>School meals framed as discretionary spending</w:t>
            </w:r>
          </w:p>
        </w:tc>
        <w:tc>
          <w:tcPr>
            <w:tcW w:w="2448" w:type="dxa"/>
            <w:tcBorders>
              <w:top w:val="single" w:sz="4" w:space="0" w:color="auto"/>
              <w:left w:val="single" w:sz="4" w:space="0" w:color="auto"/>
              <w:bottom w:val="single" w:sz="4" w:space="0" w:color="auto"/>
              <w:right w:val="single" w:sz="4" w:space="0" w:color="auto"/>
            </w:tcBorders>
            <w:hideMark/>
          </w:tcPr>
          <w:p w14:paraId="0621CA4F" w14:textId="77777777" w:rsidR="00DB55EA" w:rsidRPr="00DB55EA" w:rsidRDefault="00DB55EA" w:rsidP="00DB55EA">
            <w:pPr>
              <w:rPr>
                <w:lang w:val="en-US"/>
              </w:rPr>
            </w:pPr>
            <w:r w:rsidRPr="00DB55EA">
              <w:rPr>
                <w:lang w:val="en-US"/>
              </w:rPr>
              <w:t>WPR</w:t>
            </w:r>
          </w:p>
        </w:tc>
      </w:tr>
      <w:tr w:rsidR="00DB55EA" w:rsidRPr="00DB55EA" w14:paraId="3870AD95" w14:textId="77777777">
        <w:tc>
          <w:tcPr>
            <w:tcW w:w="2448" w:type="dxa"/>
            <w:tcBorders>
              <w:top w:val="single" w:sz="4" w:space="0" w:color="auto"/>
              <w:left w:val="single" w:sz="4" w:space="0" w:color="auto"/>
              <w:bottom w:val="single" w:sz="4" w:space="0" w:color="auto"/>
              <w:right w:val="single" w:sz="4" w:space="0" w:color="auto"/>
            </w:tcBorders>
            <w:hideMark/>
          </w:tcPr>
          <w:p w14:paraId="12D52CFC" w14:textId="77777777" w:rsidR="00DB55EA" w:rsidRPr="00DB55EA" w:rsidRDefault="00DB55EA" w:rsidP="00DB55EA">
            <w:pPr>
              <w:rPr>
                <w:lang w:val="en-US"/>
              </w:rPr>
            </w:pPr>
            <w:r w:rsidRPr="00DB55EA">
              <w:rPr>
                <w:lang w:val="en-US"/>
              </w:rPr>
              <w:t>‘These changes will increase administrative burden and reduce access.’ (Advocacy report, 2025)</w:t>
            </w:r>
          </w:p>
        </w:tc>
        <w:tc>
          <w:tcPr>
            <w:tcW w:w="2448" w:type="dxa"/>
            <w:tcBorders>
              <w:top w:val="single" w:sz="4" w:space="0" w:color="auto"/>
              <w:left w:val="single" w:sz="4" w:space="0" w:color="auto"/>
              <w:bottom w:val="single" w:sz="4" w:space="0" w:color="auto"/>
              <w:right w:val="single" w:sz="4" w:space="0" w:color="auto"/>
            </w:tcBorders>
            <w:hideMark/>
          </w:tcPr>
          <w:p w14:paraId="172B7AF8" w14:textId="77777777" w:rsidR="00DB55EA" w:rsidRPr="00DB55EA" w:rsidRDefault="00DB55EA" w:rsidP="00DB55EA">
            <w:pPr>
              <w:rPr>
                <w:lang w:val="en-US"/>
              </w:rPr>
            </w:pPr>
            <w:r w:rsidRPr="00DB55EA">
              <w:rPr>
                <w:lang w:val="en-US"/>
              </w:rPr>
              <w:t>Administrative exclusion</w:t>
            </w:r>
          </w:p>
        </w:tc>
        <w:tc>
          <w:tcPr>
            <w:tcW w:w="2448" w:type="dxa"/>
            <w:tcBorders>
              <w:top w:val="single" w:sz="4" w:space="0" w:color="auto"/>
              <w:left w:val="single" w:sz="4" w:space="0" w:color="auto"/>
              <w:bottom w:val="single" w:sz="4" w:space="0" w:color="auto"/>
              <w:right w:val="single" w:sz="4" w:space="0" w:color="auto"/>
            </w:tcBorders>
            <w:hideMark/>
          </w:tcPr>
          <w:p w14:paraId="7A193124" w14:textId="77777777" w:rsidR="00DB55EA" w:rsidRPr="00DB55EA" w:rsidRDefault="00DB55EA" w:rsidP="00DB55EA">
            <w:pPr>
              <w:rPr>
                <w:lang w:val="en-US"/>
              </w:rPr>
            </w:pPr>
            <w:r w:rsidRPr="00DB55EA">
              <w:rPr>
                <w:lang w:val="en-US"/>
              </w:rPr>
              <w:t>Access barriers</w:t>
            </w:r>
          </w:p>
        </w:tc>
        <w:tc>
          <w:tcPr>
            <w:tcW w:w="2448" w:type="dxa"/>
            <w:tcBorders>
              <w:top w:val="single" w:sz="4" w:space="0" w:color="auto"/>
              <w:left w:val="single" w:sz="4" w:space="0" w:color="auto"/>
              <w:bottom w:val="single" w:sz="4" w:space="0" w:color="auto"/>
              <w:right w:val="single" w:sz="4" w:space="0" w:color="auto"/>
            </w:tcBorders>
            <w:hideMark/>
          </w:tcPr>
          <w:p w14:paraId="337F22FF" w14:textId="77777777" w:rsidR="00DB55EA" w:rsidRPr="00DB55EA" w:rsidRDefault="00DB55EA" w:rsidP="00DB55EA">
            <w:pPr>
              <w:rPr>
                <w:lang w:val="en-US"/>
              </w:rPr>
            </w:pPr>
            <w:r w:rsidRPr="00DB55EA">
              <w:rPr>
                <w:lang w:val="en-US"/>
              </w:rPr>
              <w:t>Structural determinants shift risk</w:t>
            </w:r>
          </w:p>
        </w:tc>
        <w:tc>
          <w:tcPr>
            <w:tcW w:w="2448" w:type="dxa"/>
            <w:tcBorders>
              <w:top w:val="single" w:sz="4" w:space="0" w:color="auto"/>
              <w:left w:val="single" w:sz="4" w:space="0" w:color="auto"/>
              <w:bottom w:val="single" w:sz="4" w:space="0" w:color="auto"/>
              <w:right w:val="single" w:sz="4" w:space="0" w:color="auto"/>
            </w:tcBorders>
            <w:hideMark/>
          </w:tcPr>
          <w:p w14:paraId="2F6E6049" w14:textId="77777777" w:rsidR="00DB55EA" w:rsidRPr="00DB55EA" w:rsidRDefault="00DB55EA" w:rsidP="00DB55EA">
            <w:pPr>
              <w:rPr>
                <w:lang w:val="en-US"/>
              </w:rPr>
            </w:pPr>
            <w:r w:rsidRPr="00DB55EA">
              <w:rPr>
                <w:lang w:val="en-US"/>
              </w:rPr>
              <w:t>WPR / SDOH</w:t>
            </w:r>
          </w:p>
        </w:tc>
      </w:tr>
      <w:tr w:rsidR="00DB55EA" w:rsidRPr="00DB55EA" w14:paraId="3786B1DF" w14:textId="77777777">
        <w:tc>
          <w:tcPr>
            <w:tcW w:w="2448" w:type="dxa"/>
            <w:tcBorders>
              <w:top w:val="single" w:sz="4" w:space="0" w:color="auto"/>
              <w:left w:val="single" w:sz="4" w:space="0" w:color="auto"/>
              <w:bottom w:val="single" w:sz="4" w:space="0" w:color="auto"/>
              <w:right w:val="single" w:sz="4" w:space="0" w:color="auto"/>
            </w:tcBorders>
            <w:hideMark/>
          </w:tcPr>
          <w:p w14:paraId="55BFF788" w14:textId="77777777" w:rsidR="00DB55EA" w:rsidRPr="00DB55EA" w:rsidRDefault="00DB55EA" w:rsidP="00DB55EA">
            <w:pPr>
              <w:rPr>
                <w:lang w:val="en-US"/>
              </w:rPr>
            </w:pPr>
            <w:r w:rsidRPr="00DB55EA">
              <w:rPr>
                <w:lang w:val="en-US"/>
              </w:rPr>
              <w:t>‘Leaders warn of catastrophic impacts on learning.’ (Media article, 2025)</w:t>
            </w:r>
          </w:p>
        </w:tc>
        <w:tc>
          <w:tcPr>
            <w:tcW w:w="2448" w:type="dxa"/>
            <w:tcBorders>
              <w:top w:val="single" w:sz="4" w:space="0" w:color="auto"/>
              <w:left w:val="single" w:sz="4" w:space="0" w:color="auto"/>
              <w:bottom w:val="single" w:sz="4" w:space="0" w:color="auto"/>
              <w:right w:val="single" w:sz="4" w:space="0" w:color="auto"/>
            </w:tcBorders>
            <w:hideMark/>
          </w:tcPr>
          <w:p w14:paraId="40880468" w14:textId="77777777" w:rsidR="00DB55EA" w:rsidRPr="00DB55EA" w:rsidRDefault="00DB55EA" w:rsidP="00DB55EA">
            <w:pPr>
              <w:rPr>
                <w:lang w:val="en-US"/>
              </w:rPr>
            </w:pPr>
            <w:r w:rsidRPr="00DB55EA">
              <w:rPr>
                <w:lang w:val="en-US"/>
              </w:rPr>
              <w:t>Anticipated student harm</w:t>
            </w:r>
          </w:p>
        </w:tc>
        <w:tc>
          <w:tcPr>
            <w:tcW w:w="2448" w:type="dxa"/>
            <w:tcBorders>
              <w:top w:val="single" w:sz="4" w:space="0" w:color="auto"/>
              <w:left w:val="single" w:sz="4" w:space="0" w:color="auto"/>
              <w:bottom w:val="single" w:sz="4" w:space="0" w:color="auto"/>
              <w:right w:val="single" w:sz="4" w:space="0" w:color="auto"/>
            </w:tcBorders>
            <w:hideMark/>
          </w:tcPr>
          <w:p w14:paraId="3D1DE81E" w14:textId="77777777" w:rsidR="00DB55EA" w:rsidRPr="00DB55EA" w:rsidRDefault="00DB55EA" w:rsidP="00DB55EA">
            <w:pPr>
              <w:rPr>
                <w:lang w:val="en-US"/>
              </w:rPr>
            </w:pPr>
            <w:r w:rsidRPr="00DB55EA">
              <w:rPr>
                <w:lang w:val="en-US"/>
              </w:rPr>
              <w:t>Learning risk foregrounded</w:t>
            </w:r>
          </w:p>
        </w:tc>
        <w:tc>
          <w:tcPr>
            <w:tcW w:w="2448" w:type="dxa"/>
            <w:tcBorders>
              <w:top w:val="single" w:sz="4" w:space="0" w:color="auto"/>
              <w:left w:val="single" w:sz="4" w:space="0" w:color="auto"/>
              <w:bottom w:val="single" w:sz="4" w:space="0" w:color="auto"/>
              <w:right w:val="single" w:sz="4" w:space="0" w:color="auto"/>
            </w:tcBorders>
            <w:hideMark/>
          </w:tcPr>
          <w:p w14:paraId="3F5E94AD" w14:textId="77777777" w:rsidR="00DB55EA" w:rsidRPr="00DB55EA" w:rsidRDefault="00DB55EA" w:rsidP="00DB55EA">
            <w:pPr>
              <w:rPr>
                <w:lang w:val="en-US"/>
              </w:rPr>
            </w:pPr>
            <w:r w:rsidRPr="00DB55EA">
              <w:rPr>
                <w:lang w:val="en-US"/>
              </w:rPr>
              <w:t>Preventive impacts absent in policy stream</w:t>
            </w:r>
          </w:p>
        </w:tc>
        <w:tc>
          <w:tcPr>
            <w:tcW w:w="2448" w:type="dxa"/>
            <w:tcBorders>
              <w:top w:val="single" w:sz="4" w:space="0" w:color="auto"/>
              <w:left w:val="single" w:sz="4" w:space="0" w:color="auto"/>
              <w:bottom w:val="single" w:sz="4" w:space="0" w:color="auto"/>
              <w:right w:val="single" w:sz="4" w:space="0" w:color="auto"/>
            </w:tcBorders>
            <w:hideMark/>
          </w:tcPr>
          <w:p w14:paraId="2A7A7928" w14:textId="77777777" w:rsidR="00DB55EA" w:rsidRPr="00DB55EA" w:rsidRDefault="00DB55EA" w:rsidP="00DB55EA">
            <w:pPr>
              <w:rPr>
                <w:lang w:val="en-US"/>
              </w:rPr>
            </w:pPr>
            <w:r w:rsidRPr="00DB55EA">
              <w:rPr>
                <w:lang w:val="en-US"/>
              </w:rPr>
              <w:t>MSF / CDA</w:t>
            </w:r>
          </w:p>
        </w:tc>
      </w:tr>
    </w:tbl>
    <w:p w14:paraId="456296A5" w14:textId="77777777" w:rsidR="00DB55EA" w:rsidRPr="00DB55EA" w:rsidRDefault="00DB55EA" w:rsidP="00DB55EA">
      <w:pPr>
        <w:rPr>
          <w:lang w:val="en-US"/>
        </w:rPr>
      </w:pPr>
    </w:p>
    <w:p w14:paraId="723A2196" w14:textId="77777777" w:rsidR="00DB55EA" w:rsidRPr="00DB55EA" w:rsidRDefault="00DB55EA" w:rsidP="00DB55EA">
      <w:pPr>
        <w:rPr>
          <w:lang w:val="en-US"/>
        </w:rPr>
      </w:pPr>
    </w:p>
    <w:p w14:paraId="3B277C0A" w14:textId="77777777" w:rsidR="00DB55EA" w:rsidRPr="00DB55EA" w:rsidRDefault="00DB55EA" w:rsidP="00DB55EA">
      <w:pPr>
        <w:rPr>
          <w:lang w:val="en-US"/>
        </w:rPr>
      </w:pPr>
    </w:p>
    <w:p w14:paraId="74CE71E8" w14:textId="77777777" w:rsidR="00DB55EA" w:rsidRPr="00DB55EA" w:rsidRDefault="00DB55EA" w:rsidP="00DB55EA">
      <w:pPr>
        <w:rPr>
          <w:lang w:val="en-US"/>
        </w:rPr>
      </w:pPr>
      <w:r w:rsidRPr="00DB55EA">
        <w:rPr>
          <w:b/>
          <w:bCs/>
          <w:lang w:val="en-US"/>
        </w:rPr>
        <w:t>Appendix D. Mapping Analytic Frameworks to Research Aims</w:t>
      </w:r>
    </w:p>
    <w:p w14:paraId="2EF4CF2A" w14:textId="77777777" w:rsidR="00DB55EA" w:rsidRPr="00DB55EA" w:rsidRDefault="00DB55EA" w:rsidP="00DB55EA">
      <w:pPr>
        <w:rPr>
          <w:lang w:val="en-US"/>
        </w:rPr>
      </w:pPr>
      <w:r w:rsidRPr="00DB55EA">
        <w:rPr>
          <w:lang w:val="en-US"/>
        </w:rPr>
        <w:t>This table maps the study’s analytic frameworks to the corresponding research objectives and analytic questions. It demonstrates how each framework contributed to the systematic examination of federal school meal policy, problem framing, and evidence use within the qualitative document analysis.</w:t>
      </w:r>
    </w:p>
    <w:p w14:paraId="00BC37BB" w14:textId="77777777" w:rsidR="00DB55EA" w:rsidRPr="00DB55EA" w:rsidRDefault="00DB55EA" w:rsidP="00DB55EA">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2418"/>
        <w:gridCol w:w="2167"/>
        <w:gridCol w:w="2208"/>
      </w:tblGrid>
      <w:tr w:rsidR="00DB55EA" w:rsidRPr="00DB55EA" w14:paraId="51EE41D6" w14:textId="77777777">
        <w:tc>
          <w:tcPr>
            <w:tcW w:w="3060" w:type="dxa"/>
            <w:tcBorders>
              <w:top w:val="single" w:sz="4" w:space="0" w:color="auto"/>
              <w:left w:val="single" w:sz="4" w:space="0" w:color="auto"/>
              <w:bottom w:val="single" w:sz="4" w:space="0" w:color="auto"/>
              <w:right w:val="single" w:sz="4" w:space="0" w:color="auto"/>
            </w:tcBorders>
            <w:hideMark/>
          </w:tcPr>
          <w:p w14:paraId="4FB2C09F" w14:textId="77777777" w:rsidR="00DB55EA" w:rsidRPr="00DB55EA" w:rsidRDefault="00DB55EA" w:rsidP="00DB55EA">
            <w:pPr>
              <w:rPr>
                <w:b/>
                <w:bCs/>
                <w:lang w:val="en-US"/>
              </w:rPr>
            </w:pPr>
            <w:r w:rsidRPr="00DB55EA">
              <w:rPr>
                <w:b/>
                <w:bCs/>
                <w:lang w:val="en-US"/>
              </w:rPr>
              <w:t>Research objective</w:t>
            </w:r>
          </w:p>
        </w:tc>
        <w:tc>
          <w:tcPr>
            <w:tcW w:w="3060" w:type="dxa"/>
            <w:tcBorders>
              <w:top w:val="single" w:sz="4" w:space="0" w:color="auto"/>
              <w:left w:val="single" w:sz="4" w:space="0" w:color="auto"/>
              <w:bottom w:val="single" w:sz="4" w:space="0" w:color="auto"/>
              <w:right w:val="single" w:sz="4" w:space="0" w:color="auto"/>
            </w:tcBorders>
            <w:hideMark/>
          </w:tcPr>
          <w:p w14:paraId="17947CBD" w14:textId="77777777" w:rsidR="00DB55EA" w:rsidRPr="00DB55EA" w:rsidRDefault="00DB55EA" w:rsidP="00DB55EA">
            <w:pPr>
              <w:rPr>
                <w:b/>
                <w:bCs/>
                <w:lang w:val="en-US"/>
              </w:rPr>
            </w:pPr>
            <w:r w:rsidRPr="00DB55EA">
              <w:rPr>
                <w:b/>
                <w:bCs/>
                <w:lang w:val="en-US"/>
              </w:rPr>
              <w:t>Analytic question</w:t>
            </w:r>
          </w:p>
        </w:tc>
        <w:tc>
          <w:tcPr>
            <w:tcW w:w="3060" w:type="dxa"/>
            <w:tcBorders>
              <w:top w:val="single" w:sz="4" w:space="0" w:color="auto"/>
              <w:left w:val="single" w:sz="4" w:space="0" w:color="auto"/>
              <w:bottom w:val="single" w:sz="4" w:space="0" w:color="auto"/>
              <w:right w:val="single" w:sz="4" w:space="0" w:color="auto"/>
            </w:tcBorders>
            <w:hideMark/>
          </w:tcPr>
          <w:p w14:paraId="36822FF5" w14:textId="77777777" w:rsidR="00DB55EA" w:rsidRPr="00DB55EA" w:rsidRDefault="00DB55EA" w:rsidP="00DB55EA">
            <w:pPr>
              <w:rPr>
                <w:b/>
                <w:bCs/>
                <w:lang w:val="en-US"/>
              </w:rPr>
            </w:pPr>
            <w:r w:rsidRPr="00DB55EA">
              <w:rPr>
                <w:b/>
                <w:bCs/>
                <w:lang w:val="en-US"/>
              </w:rPr>
              <w:t>Analytic framework</w:t>
            </w:r>
          </w:p>
        </w:tc>
        <w:tc>
          <w:tcPr>
            <w:tcW w:w="3060" w:type="dxa"/>
            <w:tcBorders>
              <w:top w:val="single" w:sz="4" w:space="0" w:color="auto"/>
              <w:left w:val="single" w:sz="4" w:space="0" w:color="auto"/>
              <w:bottom w:val="single" w:sz="4" w:space="0" w:color="auto"/>
              <w:right w:val="single" w:sz="4" w:space="0" w:color="auto"/>
            </w:tcBorders>
            <w:hideMark/>
          </w:tcPr>
          <w:p w14:paraId="3B76A6EA" w14:textId="77777777" w:rsidR="00DB55EA" w:rsidRPr="00DB55EA" w:rsidRDefault="00DB55EA" w:rsidP="00DB55EA">
            <w:pPr>
              <w:rPr>
                <w:b/>
                <w:bCs/>
                <w:lang w:val="en-US"/>
              </w:rPr>
            </w:pPr>
            <w:r w:rsidRPr="00DB55EA">
              <w:rPr>
                <w:b/>
                <w:bCs/>
                <w:lang w:val="en-US"/>
              </w:rPr>
              <w:t>Contribution to analysis</w:t>
            </w:r>
          </w:p>
        </w:tc>
      </w:tr>
      <w:tr w:rsidR="00DB55EA" w:rsidRPr="00DB55EA" w14:paraId="55134EAC" w14:textId="77777777">
        <w:tc>
          <w:tcPr>
            <w:tcW w:w="3060" w:type="dxa"/>
            <w:tcBorders>
              <w:top w:val="single" w:sz="4" w:space="0" w:color="auto"/>
              <w:left w:val="single" w:sz="4" w:space="0" w:color="auto"/>
              <w:bottom w:val="single" w:sz="4" w:space="0" w:color="auto"/>
              <w:right w:val="single" w:sz="4" w:space="0" w:color="auto"/>
            </w:tcBorders>
            <w:hideMark/>
          </w:tcPr>
          <w:p w14:paraId="3C609EFC" w14:textId="77777777" w:rsidR="00DB55EA" w:rsidRPr="00DB55EA" w:rsidRDefault="00DB55EA" w:rsidP="00DB55EA">
            <w:pPr>
              <w:rPr>
                <w:lang w:val="en-US"/>
              </w:rPr>
            </w:pPr>
            <w:r w:rsidRPr="00DB55EA">
              <w:rPr>
                <w:lang w:val="en-US"/>
              </w:rPr>
              <w:t xml:space="preserve">Examine how school meal access is </w:t>
            </w:r>
            <w:r w:rsidRPr="00DB55EA">
              <w:rPr>
                <w:lang w:val="en-US"/>
              </w:rPr>
              <w:lastRenderedPageBreak/>
              <w:t>constructed as a policy problem</w:t>
            </w:r>
          </w:p>
        </w:tc>
        <w:tc>
          <w:tcPr>
            <w:tcW w:w="3060" w:type="dxa"/>
            <w:tcBorders>
              <w:top w:val="single" w:sz="4" w:space="0" w:color="auto"/>
              <w:left w:val="single" w:sz="4" w:space="0" w:color="auto"/>
              <w:bottom w:val="single" w:sz="4" w:space="0" w:color="auto"/>
              <w:right w:val="single" w:sz="4" w:space="0" w:color="auto"/>
            </w:tcBorders>
            <w:hideMark/>
          </w:tcPr>
          <w:p w14:paraId="61C00721" w14:textId="77777777" w:rsidR="00DB55EA" w:rsidRPr="00DB55EA" w:rsidRDefault="00DB55EA" w:rsidP="00DB55EA">
            <w:pPr>
              <w:rPr>
                <w:lang w:val="en-US"/>
              </w:rPr>
            </w:pPr>
            <w:r w:rsidRPr="00DB55EA">
              <w:rPr>
                <w:lang w:val="en-US"/>
              </w:rPr>
              <w:lastRenderedPageBreak/>
              <w:t xml:space="preserve">How is the ‘problem’ of school meal access represented, and what </w:t>
            </w:r>
            <w:r w:rsidRPr="00DB55EA">
              <w:rPr>
                <w:lang w:val="en-US"/>
              </w:rPr>
              <w:lastRenderedPageBreak/>
              <w:t>assumptions underpin these representations?</w:t>
            </w:r>
          </w:p>
        </w:tc>
        <w:tc>
          <w:tcPr>
            <w:tcW w:w="3060" w:type="dxa"/>
            <w:tcBorders>
              <w:top w:val="single" w:sz="4" w:space="0" w:color="auto"/>
              <w:left w:val="single" w:sz="4" w:space="0" w:color="auto"/>
              <w:bottom w:val="single" w:sz="4" w:space="0" w:color="auto"/>
              <w:right w:val="single" w:sz="4" w:space="0" w:color="auto"/>
            </w:tcBorders>
            <w:hideMark/>
          </w:tcPr>
          <w:p w14:paraId="1EDE782C" w14:textId="77777777" w:rsidR="00DB55EA" w:rsidRPr="00DB55EA" w:rsidRDefault="00DB55EA" w:rsidP="00DB55EA">
            <w:pPr>
              <w:rPr>
                <w:lang w:val="en-US"/>
              </w:rPr>
            </w:pPr>
            <w:r w:rsidRPr="00DB55EA">
              <w:rPr>
                <w:lang w:val="en-US"/>
              </w:rPr>
              <w:lastRenderedPageBreak/>
              <w:t xml:space="preserve">What’s the Problem </w:t>
            </w:r>
            <w:r w:rsidRPr="00DB55EA">
              <w:rPr>
                <w:lang w:val="en-US"/>
              </w:rPr>
              <w:lastRenderedPageBreak/>
              <w:t>Represented to Be? (WPR)</w:t>
            </w:r>
          </w:p>
        </w:tc>
        <w:tc>
          <w:tcPr>
            <w:tcW w:w="3060" w:type="dxa"/>
            <w:tcBorders>
              <w:top w:val="single" w:sz="4" w:space="0" w:color="auto"/>
              <w:left w:val="single" w:sz="4" w:space="0" w:color="auto"/>
              <w:bottom w:val="single" w:sz="4" w:space="0" w:color="auto"/>
              <w:right w:val="single" w:sz="4" w:space="0" w:color="auto"/>
            </w:tcBorders>
            <w:hideMark/>
          </w:tcPr>
          <w:p w14:paraId="57B4FB23" w14:textId="77777777" w:rsidR="00DB55EA" w:rsidRPr="00DB55EA" w:rsidRDefault="00DB55EA" w:rsidP="00DB55EA">
            <w:pPr>
              <w:rPr>
                <w:lang w:val="en-US"/>
              </w:rPr>
            </w:pPr>
            <w:r w:rsidRPr="00DB55EA">
              <w:rPr>
                <w:lang w:val="en-US"/>
              </w:rPr>
              <w:lastRenderedPageBreak/>
              <w:t xml:space="preserve">Identifies dominant policy framings and surfaces implicit </w:t>
            </w:r>
            <w:r w:rsidRPr="00DB55EA">
              <w:rPr>
                <w:lang w:val="en-US"/>
              </w:rPr>
              <w:lastRenderedPageBreak/>
              <w:t>assumptions and silences</w:t>
            </w:r>
          </w:p>
        </w:tc>
      </w:tr>
      <w:tr w:rsidR="00DB55EA" w:rsidRPr="00DB55EA" w14:paraId="573B2F86" w14:textId="77777777">
        <w:tc>
          <w:tcPr>
            <w:tcW w:w="3060" w:type="dxa"/>
            <w:tcBorders>
              <w:top w:val="single" w:sz="4" w:space="0" w:color="auto"/>
              <w:left w:val="single" w:sz="4" w:space="0" w:color="auto"/>
              <w:bottom w:val="single" w:sz="4" w:space="0" w:color="auto"/>
              <w:right w:val="single" w:sz="4" w:space="0" w:color="auto"/>
            </w:tcBorders>
            <w:hideMark/>
          </w:tcPr>
          <w:p w14:paraId="60BDF7F8" w14:textId="77777777" w:rsidR="00DB55EA" w:rsidRPr="00DB55EA" w:rsidRDefault="00DB55EA" w:rsidP="00DB55EA">
            <w:pPr>
              <w:rPr>
                <w:lang w:val="en-US"/>
              </w:rPr>
            </w:pPr>
            <w:r w:rsidRPr="00DB55EA">
              <w:rPr>
                <w:lang w:val="en-US"/>
              </w:rPr>
              <w:lastRenderedPageBreak/>
              <w:t>Analyze how hunger, learning, and equity evidence enters or exits policy agendas</w:t>
            </w:r>
          </w:p>
        </w:tc>
        <w:tc>
          <w:tcPr>
            <w:tcW w:w="3060" w:type="dxa"/>
            <w:tcBorders>
              <w:top w:val="single" w:sz="4" w:space="0" w:color="auto"/>
              <w:left w:val="single" w:sz="4" w:space="0" w:color="auto"/>
              <w:bottom w:val="single" w:sz="4" w:space="0" w:color="auto"/>
              <w:right w:val="single" w:sz="4" w:space="0" w:color="auto"/>
            </w:tcBorders>
            <w:hideMark/>
          </w:tcPr>
          <w:p w14:paraId="72DEDCFA" w14:textId="77777777" w:rsidR="00DB55EA" w:rsidRPr="00DB55EA" w:rsidRDefault="00DB55EA" w:rsidP="00DB55EA">
            <w:pPr>
              <w:rPr>
                <w:lang w:val="en-US"/>
              </w:rPr>
            </w:pPr>
            <w:r w:rsidRPr="00DB55EA">
              <w:rPr>
                <w:lang w:val="en-US"/>
              </w:rPr>
              <w:t>Which indicators are emphasized or marginalized within the problem, policy, and politics streams?</w:t>
            </w:r>
          </w:p>
        </w:tc>
        <w:tc>
          <w:tcPr>
            <w:tcW w:w="3060" w:type="dxa"/>
            <w:tcBorders>
              <w:top w:val="single" w:sz="4" w:space="0" w:color="auto"/>
              <w:left w:val="single" w:sz="4" w:space="0" w:color="auto"/>
              <w:bottom w:val="single" w:sz="4" w:space="0" w:color="auto"/>
              <w:right w:val="single" w:sz="4" w:space="0" w:color="auto"/>
            </w:tcBorders>
            <w:hideMark/>
          </w:tcPr>
          <w:p w14:paraId="6AD054A2" w14:textId="77777777" w:rsidR="00DB55EA" w:rsidRPr="00DB55EA" w:rsidRDefault="00DB55EA" w:rsidP="00DB55EA">
            <w:pPr>
              <w:rPr>
                <w:lang w:val="en-US"/>
              </w:rPr>
            </w:pPr>
            <w:r w:rsidRPr="00DB55EA">
              <w:rPr>
                <w:lang w:val="en-US"/>
              </w:rPr>
              <w:t>Multiple Streams Framework (MSF)</w:t>
            </w:r>
          </w:p>
        </w:tc>
        <w:tc>
          <w:tcPr>
            <w:tcW w:w="3060" w:type="dxa"/>
            <w:tcBorders>
              <w:top w:val="single" w:sz="4" w:space="0" w:color="auto"/>
              <w:left w:val="single" w:sz="4" w:space="0" w:color="auto"/>
              <w:bottom w:val="single" w:sz="4" w:space="0" w:color="auto"/>
              <w:right w:val="single" w:sz="4" w:space="0" w:color="auto"/>
            </w:tcBorders>
            <w:hideMark/>
          </w:tcPr>
          <w:p w14:paraId="554BC7C2" w14:textId="77777777" w:rsidR="00DB55EA" w:rsidRPr="00DB55EA" w:rsidRDefault="00DB55EA" w:rsidP="00DB55EA">
            <w:pPr>
              <w:rPr>
                <w:lang w:val="en-US"/>
              </w:rPr>
            </w:pPr>
            <w:r w:rsidRPr="00DB55EA">
              <w:rPr>
                <w:lang w:val="en-US"/>
              </w:rPr>
              <w:t>Explains agenda-setting dynamics and constraints shaping policy options</w:t>
            </w:r>
          </w:p>
        </w:tc>
      </w:tr>
      <w:tr w:rsidR="00DB55EA" w:rsidRPr="00DB55EA" w14:paraId="5C5078B9" w14:textId="77777777">
        <w:tc>
          <w:tcPr>
            <w:tcW w:w="3060" w:type="dxa"/>
            <w:tcBorders>
              <w:top w:val="single" w:sz="4" w:space="0" w:color="auto"/>
              <w:left w:val="single" w:sz="4" w:space="0" w:color="auto"/>
              <w:bottom w:val="single" w:sz="4" w:space="0" w:color="auto"/>
              <w:right w:val="single" w:sz="4" w:space="0" w:color="auto"/>
            </w:tcBorders>
            <w:hideMark/>
          </w:tcPr>
          <w:p w14:paraId="149AFD8D" w14:textId="77777777" w:rsidR="00DB55EA" w:rsidRPr="00DB55EA" w:rsidRDefault="00DB55EA" w:rsidP="00DB55EA">
            <w:pPr>
              <w:rPr>
                <w:lang w:val="en-US"/>
              </w:rPr>
            </w:pPr>
            <w:r w:rsidRPr="00DB55EA">
              <w:rPr>
                <w:lang w:val="en-US"/>
              </w:rPr>
              <w:t>Examine how language and framing shape public discourse on school meals</w:t>
            </w:r>
          </w:p>
        </w:tc>
        <w:tc>
          <w:tcPr>
            <w:tcW w:w="3060" w:type="dxa"/>
            <w:tcBorders>
              <w:top w:val="single" w:sz="4" w:space="0" w:color="auto"/>
              <w:left w:val="single" w:sz="4" w:space="0" w:color="auto"/>
              <w:bottom w:val="single" w:sz="4" w:space="0" w:color="auto"/>
              <w:right w:val="single" w:sz="4" w:space="0" w:color="auto"/>
            </w:tcBorders>
            <w:hideMark/>
          </w:tcPr>
          <w:p w14:paraId="18FDC3D8" w14:textId="77777777" w:rsidR="00DB55EA" w:rsidRPr="00DB55EA" w:rsidRDefault="00DB55EA" w:rsidP="00DB55EA">
            <w:pPr>
              <w:rPr>
                <w:lang w:val="en-US"/>
              </w:rPr>
            </w:pPr>
            <w:r w:rsidRPr="00DB55EA">
              <w:rPr>
                <w:lang w:val="en-US"/>
              </w:rPr>
              <w:t>How are hunger and learning impacts framed, normalized, or contested across texts?</w:t>
            </w:r>
          </w:p>
        </w:tc>
        <w:tc>
          <w:tcPr>
            <w:tcW w:w="3060" w:type="dxa"/>
            <w:tcBorders>
              <w:top w:val="single" w:sz="4" w:space="0" w:color="auto"/>
              <w:left w:val="single" w:sz="4" w:space="0" w:color="auto"/>
              <w:bottom w:val="single" w:sz="4" w:space="0" w:color="auto"/>
              <w:right w:val="single" w:sz="4" w:space="0" w:color="auto"/>
            </w:tcBorders>
            <w:hideMark/>
          </w:tcPr>
          <w:p w14:paraId="5A4F0318" w14:textId="77777777" w:rsidR="00DB55EA" w:rsidRPr="00DB55EA" w:rsidRDefault="00DB55EA" w:rsidP="00DB55EA">
            <w:pPr>
              <w:rPr>
                <w:lang w:val="en-US"/>
              </w:rPr>
            </w:pPr>
            <w:r w:rsidRPr="00DB55EA">
              <w:rPr>
                <w:lang w:val="en-US"/>
              </w:rPr>
              <w:t>Critical Discourse Analysis (CDA)</w:t>
            </w:r>
          </w:p>
        </w:tc>
        <w:tc>
          <w:tcPr>
            <w:tcW w:w="3060" w:type="dxa"/>
            <w:tcBorders>
              <w:top w:val="single" w:sz="4" w:space="0" w:color="auto"/>
              <w:left w:val="single" w:sz="4" w:space="0" w:color="auto"/>
              <w:bottom w:val="single" w:sz="4" w:space="0" w:color="auto"/>
              <w:right w:val="single" w:sz="4" w:space="0" w:color="auto"/>
            </w:tcBorders>
            <w:hideMark/>
          </w:tcPr>
          <w:p w14:paraId="24369074" w14:textId="77777777" w:rsidR="00DB55EA" w:rsidRPr="00DB55EA" w:rsidRDefault="00DB55EA" w:rsidP="00DB55EA">
            <w:pPr>
              <w:rPr>
                <w:lang w:val="en-US"/>
              </w:rPr>
            </w:pPr>
            <w:r w:rsidRPr="00DB55EA">
              <w:rPr>
                <w:lang w:val="en-US"/>
              </w:rPr>
              <w:t>Interrogates how power and ideology operate through language and framing</w:t>
            </w:r>
          </w:p>
        </w:tc>
      </w:tr>
      <w:tr w:rsidR="00DB55EA" w:rsidRPr="00DB55EA" w14:paraId="2BAD954B" w14:textId="77777777">
        <w:tc>
          <w:tcPr>
            <w:tcW w:w="3060" w:type="dxa"/>
            <w:tcBorders>
              <w:top w:val="single" w:sz="4" w:space="0" w:color="auto"/>
              <w:left w:val="single" w:sz="4" w:space="0" w:color="auto"/>
              <w:bottom w:val="single" w:sz="4" w:space="0" w:color="auto"/>
              <w:right w:val="single" w:sz="4" w:space="0" w:color="auto"/>
            </w:tcBorders>
            <w:hideMark/>
          </w:tcPr>
          <w:p w14:paraId="16342F18" w14:textId="77777777" w:rsidR="00DB55EA" w:rsidRPr="00DB55EA" w:rsidRDefault="00DB55EA" w:rsidP="00DB55EA">
            <w:pPr>
              <w:rPr>
                <w:lang w:val="en-US"/>
              </w:rPr>
            </w:pPr>
            <w:r w:rsidRPr="00DB55EA">
              <w:rPr>
                <w:lang w:val="en-US"/>
              </w:rPr>
              <w:t>Assess equity and population health implications of policy retrenchment</w:t>
            </w:r>
          </w:p>
        </w:tc>
        <w:tc>
          <w:tcPr>
            <w:tcW w:w="3060" w:type="dxa"/>
            <w:tcBorders>
              <w:top w:val="single" w:sz="4" w:space="0" w:color="auto"/>
              <w:left w:val="single" w:sz="4" w:space="0" w:color="auto"/>
              <w:bottom w:val="single" w:sz="4" w:space="0" w:color="auto"/>
              <w:right w:val="single" w:sz="4" w:space="0" w:color="auto"/>
            </w:tcBorders>
            <w:hideMark/>
          </w:tcPr>
          <w:p w14:paraId="6AFF760C" w14:textId="77777777" w:rsidR="00DB55EA" w:rsidRPr="00DB55EA" w:rsidRDefault="00DB55EA" w:rsidP="00DB55EA">
            <w:pPr>
              <w:rPr>
                <w:lang w:val="en-US"/>
              </w:rPr>
            </w:pPr>
            <w:r w:rsidRPr="00DB55EA">
              <w:rPr>
                <w:lang w:val="en-US"/>
              </w:rPr>
              <w:t>How do policy framings redistribute risk and access across populations?</w:t>
            </w:r>
          </w:p>
        </w:tc>
        <w:tc>
          <w:tcPr>
            <w:tcW w:w="3060" w:type="dxa"/>
            <w:tcBorders>
              <w:top w:val="single" w:sz="4" w:space="0" w:color="auto"/>
              <w:left w:val="single" w:sz="4" w:space="0" w:color="auto"/>
              <w:bottom w:val="single" w:sz="4" w:space="0" w:color="auto"/>
              <w:right w:val="single" w:sz="4" w:space="0" w:color="auto"/>
            </w:tcBorders>
            <w:hideMark/>
          </w:tcPr>
          <w:p w14:paraId="65608B64" w14:textId="77777777" w:rsidR="00DB55EA" w:rsidRPr="00DB55EA" w:rsidRDefault="00DB55EA" w:rsidP="00DB55EA">
            <w:pPr>
              <w:rPr>
                <w:lang w:val="en-US"/>
              </w:rPr>
            </w:pPr>
            <w:r w:rsidRPr="00DB55EA">
              <w:rPr>
                <w:lang w:val="en-US"/>
              </w:rPr>
              <w:t>Integrated QDA with SDOH lens</w:t>
            </w:r>
          </w:p>
        </w:tc>
        <w:tc>
          <w:tcPr>
            <w:tcW w:w="3060" w:type="dxa"/>
            <w:tcBorders>
              <w:top w:val="single" w:sz="4" w:space="0" w:color="auto"/>
              <w:left w:val="single" w:sz="4" w:space="0" w:color="auto"/>
              <w:bottom w:val="single" w:sz="4" w:space="0" w:color="auto"/>
              <w:right w:val="single" w:sz="4" w:space="0" w:color="auto"/>
            </w:tcBorders>
            <w:hideMark/>
          </w:tcPr>
          <w:p w14:paraId="43D05DDC" w14:textId="77777777" w:rsidR="00DB55EA" w:rsidRPr="00DB55EA" w:rsidRDefault="00DB55EA" w:rsidP="00DB55EA">
            <w:pPr>
              <w:rPr>
                <w:lang w:val="en-US"/>
              </w:rPr>
            </w:pPr>
            <w:r w:rsidRPr="00DB55EA">
              <w:rPr>
                <w:lang w:val="en-US"/>
              </w:rPr>
              <w:t>Links policy design to structural and intermediary determinants of health</w:t>
            </w:r>
          </w:p>
        </w:tc>
      </w:tr>
    </w:tbl>
    <w:p w14:paraId="3D4525F4" w14:textId="77777777" w:rsidR="00DB55EA" w:rsidRPr="00DB55EA" w:rsidRDefault="00DB55EA" w:rsidP="00DB55EA">
      <w:pPr>
        <w:rPr>
          <w:lang w:val="en-US"/>
        </w:rPr>
      </w:pPr>
    </w:p>
    <w:p w14:paraId="5EAF47FB"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5EA"/>
    <w:rsid w:val="003665A9"/>
    <w:rsid w:val="00767E38"/>
    <w:rsid w:val="00866F7D"/>
    <w:rsid w:val="00DB55EA"/>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1D489"/>
  <w15:chartTrackingRefBased/>
  <w15:docId w15:val="{B32713C6-51CB-4056-9B2C-78BAE5497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5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5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55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55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5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5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5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5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5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5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55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55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55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5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5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5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5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5EA"/>
    <w:rPr>
      <w:rFonts w:eastAsiaTheme="majorEastAsia" w:cstheme="majorBidi"/>
      <w:color w:val="272727" w:themeColor="text1" w:themeTint="D8"/>
    </w:rPr>
  </w:style>
  <w:style w:type="paragraph" w:styleId="Title">
    <w:name w:val="Title"/>
    <w:basedOn w:val="Normal"/>
    <w:next w:val="Normal"/>
    <w:link w:val="TitleChar"/>
    <w:uiPriority w:val="10"/>
    <w:qFormat/>
    <w:rsid w:val="00DB5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5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5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5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5EA"/>
    <w:pPr>
      <w:spacing w:before="160"/>
      <w:jc w:val="center"/>
    </w:pPr>
    <w:rPr>
      <w:i/>
      <w:iCs/>
      <w:color w:val="404040" w:themeColor="text1" w:themeTint="BF"/>
    </w:rPr>
  </w:style>
  <w:style w:type="character" w:customStyle="1" w:styleId="QuoteChar">
    <w:name w:val="Quote Char"/>
    <w:basedOn w:val="DefaultParagraphFont"/>
    <w:link w:val="Quote"/>
    <w:uiPriority w:val="29"/>
    <w:rsid w:val="00DB55EA"/>
    <w:rPr>
      <w:i/>
      <w:iCs/>
      <w:color w:val="404040" w:themeColor="text1" w:themeTint="BF"/>
    </w:rPr>
  </w:style>
  <w:style w:type="paragraph" w:styleId="ListParagraph">
    <w:name w:val="List Paragraph"/>
    <w:basedOn w:val="Normal"/>
    <w:uiPriority w:val="34"/>
    <w:qFormat/>
    <w:rsid w:val="00DB55EA"/>
    <w:pPr>
      <w:ind w:left="720"/>
      <w:contextualSpacing/>
    </w:pPr>
  </w:style>
  <w:style w:type="character" w:styleId="IntenseEmphasis">
    <w:name w:val="Intense Emphasis"/>
    <w:basedOn w:val="DefaultParagraphFont"/>
    <w:uiPriority w:val="21"/>
    <w:qFormat/>
    <w:rsid w:val="00DB55EA"/>
    <w:rPr>
      <w:i/>
      <w:iCs/>
      <w:color w:val="0F4761" w:themeColor="accent1" w:themeShade="BF"/>
    </w:rPr>
  </w:style>
  <w:style w:type="paragraph" w:styleId="IntenseQuote">
    <w:name w:val="Intense Quote"/>
    <w:basedOn w:val="Normal"/>
    <w:next w:val="Normal"/>
    <w:link w:val="IntenseQuoteChar"/>
    <w:uiPriority w:val="30"/>
    <w:qFormat/>
    <w:rsid w:val="00DB5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55EA"/>
    <w:rPr>
      <w:i/>
      <w:iCs/>
      <w:color w:val="0F4761" w:themeColor="accent1" w:themeShade="BF"/>
    </w:rPr>
  </w:style>
  <w:style w:type="character" w:styleId="IntenseReference">
    <w:name w:val="Intense Reference"/>
    <w:basedOn w:val="DefaultParagraphFont"/>
    <w:uiPriority w:val="32"/>
    <w:qFormat/>
    <w:rsid w:val="00DB55EA"/>
    <w:rPr>
      <w:b/>
      <w:bCs/>
      <w:smallCaps/>
      <w:color w:val="0F4761" w:themeColor="accent1" w:themeShade="BF"/>
      <w:spacing w:val="5"/>
    </w:rPr>
  </w:style>
  <w:style w:type="table" w:styleId="TableGrid">
    <w:name w:val="Table Grid"/>
    <w:basedOn w:val="TableNormal"/>
    <w:uiPriority w:val="39"/>
    <w:rsid w:val="00DB5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2007</Words>
  <Characters>11441</Characters>
  <Application>Microsoft Office Word</Application>
  <DocSecurity>0</DocSecurity>
  <Lines>95</Lines>
  <Paragraphs>26</Paragraphs>
  <ScaleCrop>false</ScaleCrop>
  <Company/>
  <LinksUpToDate>false</LinksUpToDate>
  <CharactersWithSpaces>13422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2026-05-26T08:38:00Z</dcterms:created>
  <dcterms:modified xsi:type="dcterms:W3CDTF">2026-05-26T08:38:00Z</dcterms:modified>
</cp:coreProperties>
</file>