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4F5CB" w14:textId="77777777" w:rsidR="00E71525" w:rsidRPr="00317E0D" w:rsidRDefault="00E71525" w:rsidP="00E71525">
      <w:pPr>
        <w:pStyle w:val="berschrift1"/>
        <w:spacing w:line="480" w:lineRule="auto"/>
        <w:jc w:val="both"/>
        <w:rPr>
          <w:rFonts w:ascii="Times New Roman" w:hAnsi="Times New Roman" w:cs="Times New Roman"/>
          <w:b/>
          <w:bCs/>
          <w:color w:val="000000" w:themeColor="text1"/>
          <w:sz w:val="20"/>
          <w:szCs w:val="20"/>
          <w:lang w:val="en-US"/>
        </w:rPr>
      </w:pPr>
      <w:r w:rsidRPr="00317E0D">
        <w:rPr>
          <w:rFonts w:ascii="Times New Roman" w:hAnsi="Times New Roman" w:cs="Times New Roman"/>
          <w:b/>
          <w:bCs/>
          <w:color w:val="000000" w:themeColor="text1"/>
          <w:sz w:val="20"/>
          <w:szCs w:val="20"/>
          <w:lang w:val="en-US"/>
        </w:rPr>
        <w:t>Supplementary material</w:t>
      </w:r>
    </w:p>
    <w:p w14:paraId="46F62F95" w14:textId="77777777" w:rsidR="00E71525" w:rsidRPr="00E71525" w:rsidRDefault="00E71525" w:rsidP="00E71525">
      <w:pPr>
        <w:pStyle w:val="berschrift2"/>
        <w:spacing w:line="480" w:lineRule="auto"/>
        <w:jc w:val="both"/>
        <w:rPr>
          <w:rFonts w:ascii="Times New Roman" w:hAnsi="Times New Roman" w:cs="Times New Roman"/>
          <w:i/>
          <w:iCs/>
          <w:color w:val="000000" w:themeColor="text1"/>
          <w:sz w:val="20"/>
          <w:szCs w:val="20"/>
          <w:lang w:val="en-US"/>
        </w:rPr>
      </w:pPr>
      <w:r w:rsidRPr="00E71525">
        <w:rPr>
          <w:rFonts w:ascii="Times New Roman" w:hAnsi="Times New Roman" w:cs="Times New Roman"/>
          <w:i/>
          <w:iCs/>
          <w:color w:val="000000" w:themeColor="text1"/>
          <w:sz w:val="20"/>
          <w:szCs w:val="20"/>
          <w:lang w:val="en-US"/>
        </w:rPr>
        <w:t>Supplementary tables</w:t>
      </w:r>
    </w:p>
    <w:p w14:paraId="6D8C41DD" w14:textId="4D28CD85" w:rsidR="00E71525" w:rsidRPr="00317E0D" w:rsidRDefault="00E71525" w:rsidP="00E71525">
      <w:pPr>
        <w:spacing w:line="240" w:lineRule="auto"/>
        <w:rPr>
          <w:rFonts w:ascii="Times New Roman" w:hAnsi="Times New Roman" w:cs="Times New Roman"/>
          <w:sz w:val="20"/>
          <w:szCs w:val="20"/>
          <w:lang w:val="en-US"/>
        </w:rPr>
      </w:pPr>
      <w:r w:rsidRPr="00317E0D">
        <w:rPr>
          <w:rStyle w:val="Fett"/>
          <w:rFonts w:ascii="Times New Roman" w:hAnsi="Times New Roman" w:cs="Times New Roman"/>
          <w:sz w:val="20"/>
          <w:szCs w:val="20"/>
          <w:lang w:val="en-US"/>
        </w:rPr>
        <w:t>Supplementary Table 1 Quantitative analysis of myenteric plexus characteristics</w:t>
      </w:r>
    </w:p>
    <w:p w14:paraId="38C7BA37" w14:textId="24E4E3FC" w:rsidR="00E71525" w:rsidRPr="00317E0D" w:rsidRDefault="00E71525" w:rsidP="00E71525">
      <w:pPr>
        <w:spacing w:line="240" w:lineRule="auto"/>
        <w:rPr>
          <w:rFonts w:ascii="Times New Roman" w:hAnsi="Times New Roman" w:cs="Times New Roman"/>
          <w:sz w:val="20"/>
          <w:szCs w:val="20"/>
          <w:lang w:val="en-US"/>
        </w:rPr>
      </w:pPr>
      <w:r w:rsidRPr="00317E0D">
        <w:rPr>
          <w:rFonts w:ascii="Times New Roman" w:hAnsi="Times New Roman" w:cs="Times New Roman"/>
          <w:sz w:val="20"/>
          <w:szCs w:val="20"/>
          <w:lang w:val="en-US"/>
        </w:rPr>
        <w:t>Morphometric and immunohistochemical parameters in patients with obstructive defecation syndrome (ODS, n=17), slow transit constipation (STC, n=24), combined ODS+STC (n=28), and controls (n=31). Data are presented as mean ± SD. Significant differences (p&lt;0.05) are highlighted. Parameters include ganglionic morphology, MAP2-based neuronal content, and CD3+ lymphocytes infiltration. Corresponding data are visualized in Figures 2-4</w:t>
      </w:r>
    </w:p>
    <w:p w14:paraId="613F9E47" w14:textId="77777777" w:rsidR="00E71525" w:rsidRPr="00317E0D" w:rsidRDefault="00E71525" w:rsidP="00E71525">
      <w:pPr>
        <w:rPr>
          <w:rFonts w:ascii="Times New Roman" w:hAnsi="Times New Roman" w:cs="Times New Roman"/>
          <w:sz w:val="20"/>
          <w:szCs w:val="20"/>
          <w:lang w:val="en-US"/>
        </w:rPr>
      </w:pPr>
    </w:p>
    <w:tbl>
      <w:tblPr>
        <w:tblStyle w:val="EinfacheTabelle4"/>
        <w:tblW w:w="892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4A0" w:firstRow="1" w:lastRow="0" w:firstColumn="1" w:lastColumn="0" w:noHBand="0" w:noVBand="1"/>
      </w:tblPr>
      <w:tblGrid>
        <w:gridCol w:w="1974"/>
        <w:gridCol w:w="991"/>
        <w:gridCol w:w="1131"/>
        <w:gridCol w:w="991"/>
        <w:gridCol w:w="1410"/>
        <w:gridCol w:w="1549"/>
        <w:gridCol w:w="880"/>
      </w:tblGrid>
      <w:tr w:rsidR="00E71525" w:rsidRPr="00317E0D" w14:paraId="1E7D84A2" w14:textId="77777777" w:rsidTr="00244E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0A802E0" w14:textId="77777777" w:rsidR="00E71525" w:rsidRPr="00317E0D" w:rsidRDefault="00E71525" w:rsidP="00244ECA">
            <w:pPr>
              <w:spacing w:line="276" w:lineRule="auto"/>
              <w:rPr>
                <w:rFonts w:ascii="Times New Roman" w:hAnsi="Times New Roman" w:cs="Times New Roman"/>
                <w:sz w:val="20"/>
                <w:szCs w:val="20"/>
                <w:lang w:val="en-US"/>
              </w:rPr>
            </w:pPr>
            <w:r w:rsidRPr="00317E0D">
              <w:rPr>
                <w:rFonts w:ascii="Times New Roman" w:hAnsi="Times New Roman" w:cs="Times New Roman"/>
                <w:sz w:val="20"/>
                <w:szCs w:val="20"/>
                <w:lang w:val="en-US"/>
              </w:rPr>
              <w:t>Measurement</w:t>
            </w:r>
          </w:p>
        </w:tc>
        <w:tc>
          <w:tcPr>
            <w:tcW w:w="992" w:type="dxa"/>
          </w:tcPr>
          <w:p w14:paraId="28833999" w14:textId="77777777" w:rsidR="00E71525" w:rsidRPr="00317E0D" w:rsidRDefault="00E71525" w:rsidP="00244EC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Overall</w:t>
            </w:r>
            <w:r w:rsidRPr="00317E0D">
              <w:rPr>
                <w:rFonts w:ascii="Times New Roman" w:hAnsi="Times New Roman" w:cs="Times New Roman"/>
                <w:sz w:val="20"/>
                <w:szCs w:val="20"/>
                <w:lang w:val="en-US"/>
              </w:rPr>
              <w:br/>
              <w:t>(N=100)</w:t>
            </w:r>
          </w:p>
        </w:tc>
        <w:tc>
          <w:tcPr>
            <w:tcW w:w="1134" w:type="dxa"/>
          </w:tcPr>
          <w:p w14:paraId="4D455D7A" w14:textId="77777777" w:rsidR="00E71525" w:rsidRPr="00317E0D" w:rsidRDefault="00E71525" w:rsidP="00244EC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ODS</w:t>
            </w:r>
            <w:r w:rsidRPr="00317E0D">
              <w:rPr>
                <w:rFonts w:ascii="Times New Roman" w:hAnsi="Times New Roman" w:cs="Times New Roman"/>
                <w:sz w:val="20"/>
                <w:szCs w:val="20"/>
                <w:lang w:val="en-US"/>
              </w:rPr>
              <w:br/>
              <w:t>(N=17)</w:t>
            </w:r>
          </w:p>
        </w:tc>
        <w:tc>
          <w:tcPr>
            <w:tcW w:w="992" w:type="dxa"/>
          </w:tcPr>
          <w:p w14:paraId="791FE251" w14:textId="77777777" w:rsidR="00E71525" w:rsidRPr="00317E0D" w:rsidRDefault="00E71525" w:rsidP="00244EC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STC</w:t>
            </w:r>
            <w:r w:rsidRPr="00317E0D">
              <w:rPr>
                <w:rFonts w:ascii="Times New Roman" w:hAnsi="Times New Roman" w:cs="Times New Roman"/>
                <w:sz w:val="20"/>
                <w:szCs w:val="20"/>
                <w:lang w:val="en-US"/>
              </w:rPr>
              <w:br/>
              <w:t>(N=24)</w:t>
            </w:r>
          </w:p>
        </w:tc>
        <w:tc>
          <w:tcPr>
            <w:tcW w:w="1418" w:type="dxa"/>
          </w:tcPr>
          <w:p w14:paraId="573A24D3" w14:textId="77777777" w:rsidR="00E71525" w:rsidRPr="00317E0D" w:rsidRDefault="00E71525" w:rsidP="00244EC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ODS + STC</w:t>
            </w:r>
            <w:r w:rsidRPr="00317E0D">
              <w:rPr>
                <w:rFonts w:ascii="Times New Roman" w:hAnsi="Times New Roman" w:cs="Times New Roman"/>
                <w:sz w:val="20"/>
                <w:szCs w:val="20"/>
                <w:lang w:val="en-US"/>
              </w:rPr>
              <w:br/>
              <w:t>(N=28)</w:t>
            </w:r>
          </w:p>
        </w:tc>
        <w:tc>
          <w:tcPr>
            <w:tcW w:w="1559" w:type="dxa"/>
          </w:tcPr>
          <w:p w14:paraId="6CA3A5F7" w14:textId="77777777" w:rsidR="00E71525" w:rsidRPr="00317E0D" w:rsidRDefault="00E71525" w:rsidP="00244EC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Controls</w:t>
            </w:r>
            <w:r w:rsidRPr="00317E0D">
              <w:rPr>
                <w:rFonts w:ascii="Times New Roman" w:hAnsi="Times New Roman" w:cs="Times New Roman"/>
                <w:sz w:val="20"/>
                <w:szCs w:val="20"/>
                <w:lang w:val="en-US"/>
              </w:rPr>
              <w:br/>
              <w:t>(N=31)</w:t>
            </w:r>
          </w:p>
        </w:tc>
        <w:tc>
          <w:tcPr>
            <w:tcW w:w="851" w:type="dxa"/>
          </w:tcPr>
          <w:p w14:paraId="5D22E379" w14:textId="77777777" w:rsidR="00E71525" w:rsidRPr="00317E0D" w:rsidRDefault="00E71525" w:rsidP="00244EC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p-value</w:t>
            </w:r>
          </w:p>
        </w:tc>
      </w:tr>
      <w:tr w:rsidR="00E71525" w:rsidRPr="00317E0D" w14:paraId="3715BA9B" w14:textId="77777777" w:rsidTr="00244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055EF00" w14:textId="77777777" w:rsidR="00E71525" w:rsidRPr="00317E0D" w:rsidRDefault="00E71525" w:rsidP="00244ECA">
            <w:pPr>
              <w:spacing w:line="276" w:lineRule="auto"/>
              <w:rPr>
                <w:rFonts w:ascii="Times New Roman" w:hAnsi="Times New Roman" w:cs="Times New Roman"/>
                <w:b w:val="0"/>
                <w:bCs w:val="0"/>
                <w:sz w:val="20"/>
                <w:szCs w:val="20"/>
                <w:lang w:val="en-US"/>
              </w:rPr>
            </w:pPr>
            <w:r w:rsidRPr="00317E0D">
              <w:rPr>
                <w:rFonts w:ascii="Times New Roman" w:hAnsi="Times New Roman" w:cs="Times New Roman"/>
                <w:sz w:val="20"/>
                <w:szCs w:val="20"/>
                <w:lang w:val="en-US"/>
              </w:rPr>
              <w:t>Mean ganglia/cm</w:t>
            </w:r>
          </w:p>
        </w:tc>
        <w:tc>
          <w:tcPr>
            <w:tcW w:w="992" w:type="dxa"/>
          </w:tcPr>
          <w:p w14:paraId="0BBEBD07" w14:textId="77777777"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20.0 (5.3)</w:t>
            </w:r>
          </w:p>
        </w:tc>
        <w:tc>
          <w:tcPr>
            <w:tcW w:w="1134" w:type="dxa"/>
          </w:tcPr>
          <w:p w14:paraId="2F6669D8" w14:textId="77777777"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23.8 (5.0)</w:t>
            </w:r>
          </w:p>
        </w:tc>
        <w:tc>
          <w:tcPr>
            <w:tcW w:w="992" w:type="dxa"/>
          </w:tcPr>
          <w:p w14:paraId="06F75512" w14:textId="77777777"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18.5 (4.4)</w:t>
            </w:r>
          </w:p>
        </w:tc>
        <w:tc>
          <w:tcPr>
            <w:tcW w:w="1418" w:type="dxa"/>
          </w:tcPr>
          <w:p w14:paraId="59873F98" w14:textId="77777777"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20.5 (5.9)</w:t>
            </w:r>
          </w:p>
        </w:tc>
        <w:tc>
          <w:tcPr>
            <w:tcW w:w="1559" w:type="dxa"/>
          </w:tcPr>
          <w:p w14:paraId="349FA2EE" w14:textId="77777777"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18.6 (4.7)</w:t>
            </w:r>
          </w:p>
        </w:tc>
        <w:tc>
          <w:tcPr>
            <w:tcW w:w="851" w:type="dxa"/>
          </w:tcPr>
          <w:p w14:paraId="6B3A4FD6" w14:textId="17D75DD9"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317E0D">
              <w:rPr>
                <w:rFonts w:ascii="Times New Roman" w:hAnsi="Times New Roman" w:cs="Times New Roman"/>
                <w:b/>
                <w:bCs/>
                <w:sz w:val="20"/>
                <w:szCs w:val="20"/>
                <w:lang w:val="en-US"/>
              </w:rPr>
              <w:t>0.002</w:t>
            </w:r>
            <w:r>
              <w:rPr>
                <w:rFonts w:ascii="Times New Roman" w:hAnsi="Times New Roman" w:cs="Times New Roman"/>
                <w:b/>
                <w:bCs/>
                <w:sz w:val="20"/>
                <w:szCs w:val="20"/>
                <w:lang w:val="en-US"/>
              </w:rPr>
              <w:t>*</w:t>
            </w:r>
          </w:p>
        </w:tc>
      </w:tr>
      <w:tr w:rsidR="00E71525" w:rsidRPr="00317E0D" w14:paraId="60059D71" w14:textId="77777777" w:rsidTr="00244ECA">
        <w:tc>
          <w:tcPr>
            <w:cnfStyle w:val="001000000000" w:firstRow="0" w:lastRow="0" w:firstColumn="1" w:lastColumn="0" w:oddVBand="0" w:evenVBand="0" w:oddHBand="0" w:evenHBand="0" w:firstRowFirstColumn="0" w:firstRowLastColumn="0" w:lastRowFirstColumn="0" w:lastRowLastColumn="0"/>
            <w:tcW w:w="1980" w:type="dxa"/>
          </w:tcPr>
          <w:p w14:paraId="57A49B82" w14:textId="77777777" w:rsidR="00E71525" w:rsidRPr="00317E0D" w:rsidRDefault="00E71525" w:rsidP="00244ECA">
            <w:pPr>
              <w:spacing w:line="276" w:lineRule="auto"/>
              <w:rPr>
                <w:rFonts w:ascii="Times New Roman" w:hAnsi="Times New Roman" w:cs="Times New Roman"/>
                <w:b w:val="0"/>
                <w:bCs w:val="0"/>
                <w:sz w:val="20"/>
                <w:szCs w:val="20"/>
                <w:lang w:val="en-US"/>
              </w:rPr>
            </w:pPr>
            <w:r w:rsidRPr="00317E0D">
              <w:rPr>
                <w:rFonts w:ascii="Times New Roman" w:hAnsi="Times New Roman" w:cs="Times New Roman"/>
                <w:sz w:val="20"/>
                <w:szCs w:val="20"/>
                <w:lang w:val="en-US"/>
              </w:rPr>
              <w:t>Mean ganglion area (μm</w:t>
            </w:r>
            <w:r w:rsidRPr="00317E0D">
              <w:rPr>
                <w:rFonts w:ascii="Times New Roman" w:hAnsi="Times New Roman" w:cs="Times New Roman"/>
                <w:sz w:val="20"/>
                <w:szCs w:val="20"/>
                <w:vertAlign w:val="superscript"/>
                <w:lang w:val="en-US"/>
              </w:rPr>
              <w:t>2</w:t>
            </w:r>
            <w:r w:rsidRPr="00317E0D">
              <w:rPr>
                <w:rFonts w:ascii="Times New Roman" w:hAnsi="Times New Roman" w:cs="Times New Roman"/>
                <w:sz w:val="20"/>
                <w:szCs w:val="20"/>
                <w:lang w:val="en-US"/>
              </w:rPr>
              <w:t>)</w:t>
            </w:r>
          </w:p>
        </w:tc>
        <w:tc>
          <w:tcPr>
            <w:tcW w:w="992" w:type="dxa"/>
          </w:tcPr>
          <w:p w14:paraId="60EEA3D7" w14:textId="77777777"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16,313.9 (5,919.2)</w:t>
            </w:r>
          </w:p>
        </w:tc>
        <w:tc>
          <w:tcPr>
            <w:tcW w:w="1134" w:type="dxa"/>
          </w:tcPr>
          <w:p w14:paraId="3E10523C" w14:textId="77777777"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15,015.2 (5,138.2)</w:t>
            </w:r>
          </w:p>
        </w:tc>
        <w:tc>
          <w:tcPr>
            <w:tcW w:w="992" w:type="dxa"/>
          </w:tcPr>
          <w:p w14:paraId="132FAD8D" w14:textId="77777777"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15,424.0 (5,491.8)</w:t>
            </w:r>
          </w:p>
        </w:tc>
        <w:tc>
          <w:tcPr>
            <w:tcW w:w="1418" w:type="dxa"/>
          </w:tcPr>
          <w:p w14:paraId="2721C753" w14:textId="77777777"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17,871.6 (5,394.5)</w:t>
            </w:r>
          </w:p>
        </w:tc>
        <w:tc>
          <w:tcPr>
            <w:tcW w:w="1559" w:type="dxa"/>
          </w:tcPr>
          <w:p w14:paraId="55E89178" w14:textId="77777777"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16,308.3 (6,955.3)</w:t>
            </w:r>
          </w:p>
        </w:tc>
        <w:tc>
          <w:tcPr>
            <w:tcW w:w="851" w:type="dxa"/>
          </w:tcPr>
          <w:p w14:paraId="56218C06" w14:textId="77777777"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0.3</w:t>
            </w:r>
          </w:p>
        </w:tc>
      </w:tr>
      <w:tr w:rsidR="00E71525" w:rsidRPr="00317E0D" w14:paraId="34D829BB" w14:textId="77777777" w:rsidTr="00244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275DB08" w14:textId="77777777" w:rsidR="00E71525" w:rsidRPr="00317E0D" w:rsidRDefault="00E71525" w:rsidP="00244ECA">
            <w:pPr>
              <w:spacing w:line="276" w:lineRule="auto"/>
              <w:rPr>
                <w:rFonts w:ascii="Times New Roman" w:hAnsi="Times New Roman" w:cs="Times New Roman"/>
                <w:b w:val="0"/>
                <w:bCs w:val="0"/>
                <w:sz w:val="20"/>
                <w:szCs w:val="20"/>
                <w:lang w:val="en-US"/>
              </w:rPr>
            </w:pPr>
            <w:r w:rsidRPr="00317E0D">
              <w:rPr>
                <w:rFonts w:ascii="Times New Roman" w:hAnsi="Times New Roman" w:cs="Times New Roman"/>
                <w:sz w:val="20"/>
                <w:szCs w:val="20"/>
                <w:lang w:val="en-US"/>
              </w:rPr>
              <w:t>Mean ganglion circularity</w:t>
            </w:r>
          </w:p>
        </w:tc>
        <w:tc>
          <w:tcPr>
            <w:tcW w:w="992" w:type="dxa"/>
          </w:tcPr>
          <w:p w14:paraId="0E6099BA" w14:textId="77777777"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0.6 (0.1)</w:t>
            </w:r>
          </w:p>
        </w:tc>
        <w:tc>
          <w:tcPr>
            <w:tcW w:w="1134" w:type="dxa"/>
          </w:tcPr>
          <w:p w14:paraId="2AF6238D" w14:textId="77777777"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0.6 (0.0)</w:t>
            </w:r>
          </w:p>
        </w:tc>
        <w:tc>
          <w:tcPr>
            <w:tcW w:w="992" w:type="dxa"/>
          </w:tcPr>
          <w:p w14:paraId="3FBEADCB" w14:textId="77777777"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0.6 (0.1)</w:t>
            </w:r>
          </w:p>
        </w:tc>
        <w:tc>
          <w:tcPr>
            <w:tcW w:w="1418" w:type="dxa"/>
          </w:tcPr>
          <w:p w14:paraId="111E08DC" w14:textId="77777777"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0.6 (0.1)</w:t>
            </w:r>
          </w:p>
        </w:tc>
        <w:tc>
          <w:tcPr>
            <w:tcW w:w="1559" w:type="dxa"/>
          </w:tcPr>
          <w:p w14:paraId="484697AB" w14:textId="77777777"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0.5 (0.1)</w:t>
            </w:r>
          </w:p>
        </w:tc>
        <w:tc>
          <w:tcPr>
            <w:tcW w:w="851" w:type="dxa"/>
          </w:tcPr>
          <w:p w14:paraId="57355A5B" w14:textId="3C380F3F"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317E0D">
              <w:rPr>
                <w:rFonts w:ascii="Times New Roman" w:hAnsi="Times New Roman" w:cs="Times New Roman"/>
                <w:b/>
                <w:bCs/>
                <w:sz w:val="20"/>
                <w:szCs w:val="20"/>
                <w:lang w:val="en-US"/>
              </w:rPr>
              <w:t>0.045</w:t>
            </w:r>
            <w:r>
              <w:rPr>
                <w:rFonts w:ascii="Times New Roman" w:hAnsi="Times New Roman" w:cs="Times New Roman"/>
                <w:b/>
                <w:bCs/>
                <w:sz w:val="20"/>
                <w:szCs w:val="20"/>
                <w:lang w:val="en-US"/>
              </w:rPr>
              <w:t>*</w:t>
            </w:r>
          </w:p>
        </w:tc>
      </w:tr>
      <w:tr w:rsidR="00E71525" w:rsidRPr="00317E0D" w14:paraId="287E6319" w14:textId="77777777" w:rsidTr="00244ECA">
        <w:tc>
          <w:tcPr>
            <w:cnfStyle w:val="001000000000" w:firstRow="0" w:lastRow="0" w:firstColumn="1" w:lastColumn="0" w:oddVBand="0" w:evenVBand="0" w:oddHBand="0" w:evenHBand="0" w:firstRowFirstColumn="0" w:firstRowLastColumn="0" w:lastRowFirstColumn="0" w:lastRowLastColumn="0"/>
            <w:tcW w:w="1980" w:type="dxa"/>
          </w:tcPr>
          <w:p w14:paraId="63C5A826" w14:textId="77777777" w:rsidR="00E71525" w:rsidRPr="00317E0D" w:rsidRDefault="00E71525" w:rsidP="00244ECA">
            <w:pPr>
              <w:spacing w:line="276" w:lineRule="auto"/>
              <w:rPr>
                <w:rFonts w:ascii="Times New Roman" w:hAnsi="Times New Roman" w:cs="Times New Roman"/>
                <w:b w:val="0"/>
                <w:bCs w:val="0"/>
                <w:sz w:val="20"/>
                <w:szCs w:val="20"/>
                <w:lang w:val="en-US"/>
              </w:rPr>
            </w:pPr>
            <w:r w:rsidRPr="00317E0D">
              <w:rPr>
                <w:rFonts w:ascii="Times New Roman" w:hAnsi="Times New Roman" w:cs="Times New Roman"/>
                <w:sz w:val="20"/>
                <w:szCs w:val="20"/>
                <w:lang w:val="en-US"/>
              </w:rPr>
              <w:t>Maximum ganglion diameter (μm)</w:t>
            </w:r>
          </w:p>
        </w:tc>
        <w:tc>
          <w:tcPr>
            <w:tcW w:w="992" w:type="dxa"/>
          </w:tcPr>
          <w:p w14:paraId="30D0A301" w14:textId="77777777"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940.3 (369.5)</w:t>
            </w:r>
          </w:p>
        </w:tc>
        <w:tc>
          <w:tcPr>
            <w:tcW w:w="1134" w:type="dxa"/>
          </w:tcPr>
          <w:p w14:paraId="4F0A381A" w14:textId="77777777"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813.1 (306.2)</w:t>
            </w:r>
          </w:p>
        </w:tc>
        <w:tc>
          <w:tcPr>
            <w:tcW w:w="992" w:type="dxa"/>
          </w:tcPr>
          <w:p w14:paraId="56171602" w14:textId="77777777"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939.3 (323.7)</w:t>
            </w:r>
          </w:p>
        </w:tc>
        <w:tc>
          <w:tcPr>
            <w:tcW w:w="1418" w:type="dxa"/>
          </w:tcPr>
          <w:p w14:paraId="4EB43F64" w14:textId="77777777"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940.4 (264.8)</w:t>
            </w:r>
          </w:p>
        </w:tc>
        <w:tc>
          <w:tcPr>
            <w:tcW w:w="1559" w:type="dxa"/>
          </w:tcPr>
          <w:p w14:paraId="73F0B20C" w14:textId="77777777"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1,010.7 (492.7)</w:t>
            </w:r>
          </w:p>
        </w:tc>
        <w:tc>
          <w:tcPr>
            <w:tcW w:w="851" w:type="dxa"/>
          </w:tcPr>
          <w:p w14:paraId="73EB6493" w14:textId="77777777"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0.4</w:t>
            </w:r>
          </w:p>
        </w:tc>
      </w:tr>
      <w:tr w:rsidR="00E71525" w:rsidRPr="00317E0D" w14:paraId="7009999C" w14:textId="77777777" w:rsidTr="00244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3AC8E20" w14:textId="77777777" w:rsidR="00E71525" w:rsidRPr="00317E0D" w:rsidRDefault="00E71525" w:rsidP="00244ECA">
            <w:pPr>
              <w:spacing w:line="276" w:lineRule="auto"/>
              <w:rPr>
                <w:rFonts w:ascii="Times New Roman" w:hAnsi="Times New Roman" w:cs="Times New Roman"/>
                <w:b w:val="0"/>
                <w:bCs w:val="0"/>
                <w:sz w:val="20"/>
                <w:szCs w:val="20"/>
                <w:lang w:val="en-US"/>
              </w:rPr>
            </w:pPr>
            <w:r w:rsidRPr="00317E0D">
              <w:rPr>
                <w:rFonts w:ascii="Times New Roman" w:hAnsi="Times New Roman" w:cs="Times New Roman"/>
                <w:sz w:val="20"/>
                <w:szCs w:val="20"/>
                <w:lang w:val="en-US"/>
              </w:rPr>
              <w:t>Mean MAP2 positivity (% of all ganglia)</w:t>
            </w:r>
          </w:p>
        </w:tc>
        <w:tc>
          <w:tcPr>
            <w:tcW w:w="992" w:type="dxa"/>
          </w:tcPr>
          <w:p w14:paraId="5DD52582" w14:textId="77777777"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13.4 (5.1)</w:t>
            </w:r>
          </w:p>
        </w:tc>
        <w:tc>
          <w:tcPr>
            <w:tcW w:w="1134" w:type="dxa"/>
          </w:tcPr>
          <w:p w14:paraId="550CDBCB" w14:textId="77777777"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12.4 (4.6)</w:t>
            </w:r>
          </w:p>
        </w:tc>
        <w:tc>
          <w:tcPr>
            <w:tcW w:w="992" w:type="dxa"/>
          </w:tcPr>
          <w:p w14:paraId="6958E657" w14:textId="77777777"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14.4 (6.1)</w:t>
            </w:r>
          </w:p>
        </w:tc>
        <w:tc>
          <w:tcPr>
            <w:tcW w:w="1418" w:type="dxa"/>
          </w:tcPr>
          <w:p w14:paraId="12899184" w14:textId="77777777"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13.1 (5.2)</w:t>
            </w:r>
          </w:p>
        </w:tc>
        <w:tc>
          <w:tcPr>
            <w:tcW w:w="1559" w:type="dxa"/>
          </w:tcPr>
          <w:p w14:paraId="42A03CBC" w14:textId="77777777"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13.5 (4.6)</w:t>
            </w:r>
          </w:p>
        </w:tc>
        <w:tc>
          <w:tcPr>
            <w:tcW w:w="851" w:type="dxa"/>
          </w:tcPr>
          <w:p w14:paraId="1846D297" w14:textId="77777777"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0.6</w:t>
            </w:r>
          </w:p>
        </w:tc>
      </w:tr>
      <w:tr w:rsidR="00E71525" w:rsidRPr="00317E0D" w14:paraId="547442C6" w14:textId="77777777" w:rsidTr="00244ECA">
        <w:tc>
          <w:tcPr>
            <w:cnfStyle w:val="001000000000" w:firstRow="0" w:lastRow="0" w:firstColumn="1" w:lastColumn="0" w:oddVBand="0" w:evenVBand="0" w:oddHBand="0" w:evenHBand="0" w:firstRowFirstColumn="0" w:firstRowLastColumn="0" w:lastRowFirstColumn="0" w:lastRowLastColumn="0"/>
            <w:tcW w:w="1980" w:type="dxa"/>
          </w:tcPr>
          <w:p w14:paraId="3B56DCB3" w14:textId="77777777" w:rsidR="00E71525" w:rsidRPr="00317E0D" w:rsidRDefault="00E71525" w:rsidP="00244ECA">
            <w:pPr>
              <w:spacing w:line="276" w:lineRule="auto"/>
              <w:rPr>
                <w:rFonts w:ascii="Times New Roman" w:hAnsi="Times New Roman" w:cs="Times New Roman"/>
                <w:b w:val="0"/>
                <w:bCs w:val="0"/>
                <w:sz w:val="20"/>
                <w:szCs w:val="20"/>
                <w:lang w:val="en-US"/>
              </w:rPr>
            </w:pPr>
            <w:r w:rsidRPr="00317E0D">
              <w:rPr>
                <w:rFonts w:ascii="Times New Roman" w:hAnsi="Times New Roman" w:cs="Times New Roman"/>
                <w:sz w:val="20"/>
                <w:szCs w:val="20"/>
                <w:lang w:val="en-US"/>
              </w:rPr>
              <w:t>MAP2-positive ganglia (% of all ganglia)</w:t>
            </w:r>
          </w:p>
        </w:tc>
        <w:tc>
          <w:tcPr>
            <w:tcW w:w="992" w:type="dxa"/>
          </w:tcPr>
          <w:p w14:paraId="0E5D8F94" w14:textId="77777777"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89.5 (8.2)</w:t>
            </w:r>
          </w:p>
        </w:tc>
        <w:tc>
          <w:tcPr>
            <w:tcW w:w="1134" w:type="dxa"/>
          </w:tcPr>
          <w:p w14:paraId="3659DE5C" w14:textId="77777777"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87.8 (6.8)</w:t>
            </w:r>
          </w:p>
        </w:tc>
        <w:tc>
          <w:tcPr>
            <w:tcW w:w="992" w:type="dxa"/>
          </w:tcPr>
          <w:p w14:paraId="30B42EBD" w14:textId="77777777"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90.9 (9.5)</w:t>
            </w:r>
          </w:p>
        </w:tc>
        <w:tc>
          <w:tcPr>
            <w:tcW w:w="1418" w:type="dxa"/>
          </w:tcPr>
          <w:p w14:paraId="0B71CECC" w14:textId="77777777"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90.7 (7.6)</w:t>
            </w:r>
          </w:p>
        </w:tc>
        <w:tc>
          <w:tcPr>
            <w:tcW w:w="1559" w:type="dxa"/>
          </w:tcPr>
          <w:p w14:paraId="28171C30" w14:textId="77777777"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88.4 (8.4)</w:t>
            </w:r>
          </w:p>
        </w:tc>
        <w:tc>
          <w:tcPr>
            <w:tcW w:w="851" w:type="dxa"/>
          </w:tcPr>
          <w:p w14:paraId="19A11A22" w14:textId="77777777"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0.2</w:t>
            </w:r>
          </w:p>
        </w:tc>
      </w:tr>
      <w:tr w:rsidR="00E71525" w:rsidRPr="00317E0D" w14:paraId="11FAA548" w14:textId="77777777" w:rsidTr="00244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B327728" w14:textId="77777777" w:rsidR="00E71525" w:rsidRPr="00317E0D" w:rsidRDefault="00E71525" w:rsidP="00244ECA">
            <w:pPr>
              <w:spacing w:line="276" w:lineRule="auto"/>
              <w:rPr>
                <w:rFonts w:ascii="Times New Roman" w:hAnsi="Times New Roman" w:cs="Times New Roman"/>
                <w:b w:val="0"/>
                <w:bCs w:val="0"/>
                <w:sz w:val="20"/>
                <w:szCs w:val="20"/>
                <w:lang w:val="en-US"/>
              </w:rPr>
            </w:pPr>
            <w:r w:rsidRPr="00317E0D">
              <w:rPr>
                <w:rFonts w:ascii="Times New Roman" w:hAnsi="Times New Roman" w:cs="Times New Roman"/>
                <w:sz w:val="20"/>
                <w:szCs w:val="20"/>
                <w:lang w:val="en-US"/>
              </w:rPr>
              <w:t>CD3-positive ganglia (% of all ganglia)</w:t>
            </w:r>
          </w:p>
        </w:tc>
        <w:tc>
          <w:tcPr>
            <w:tcW w:w="992" w:type="dxa"/>
          </w:tcPr>
          <w:p w14:paraId="2A11E91D" w14:textId="77777777"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46.1 (16.7)</w:t>
            </w:r>
          </w:p>
        </w:tc>
        <w:tc>
          <w:tcPr>
            <w:tcW w:w="1134" w:type="dxa"/>
          </w:tcPr>
          <w:p w14:paraId="0C28BE20" w14:textId="77777777"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41.8 (15.2)</w:t>
            </w:r>
          </w:p>
        </w:tc>
        <w:tc>
          <w:tcPr>
            <w:tcW w:w="992" w:type="dxa"/>
          </w:tcPr>
          <w:p w14:paraId="12129B22" w14:textId="77777777"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40.5 (14.4)</w:t>
            </w:r>
          </w:p>
        </w:tc>
        <w:tc>
          <w:tcPr>
            <w:tcW w:w="1418" w:type="dxa"/>
          </w:tcPr>
          <w:p w14:paraId="6ED62218" w14:textId="77777777"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43.5 (16.2)</w:t>
            </w:r>
          </w:p>
        </w:tc>
        <w:tc>
          <w:tcPr>
            <w:tcW w:w="1559" w:type="dxa"/>
          </w:tcPr>
          <w:p w14:paraId="27E6DC25" w14:textId="77777777"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55.2 (16.6)</w:t>
            </w:r>
          </w:p>
        </w:tc>
        <w:tc>
          <w:tcPr>
            <w:tcW w:w="851" w:type="dxa"/>
          </w:tcPr>
          <w:p w14:paraId="5E9840CB" w14:textId="4DADAD51"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317E0D">
              <w:rPr>
                <w:rFonts w:ascii="Times New Roman" w:hAnsi="Times New Roman" w:cs="Times New Roman"/>
                <w:b/>
                <w:bCs/>
                <w:sz w:val="20"/>
                <w:szCs w:val="20"/>
                <w:lang w:val="en-US"/>
              </w:rPr>
              <w:t>0.006</w:t>
            </w:r>
            <w:r>
              <w:rPr>
                <w:rFonts w:ascii="Times New Roman" w:hAnsi="Times New Roman" w:cs="Times New Roman"/>
                <w:b/>
                <w:bCs/>
                <w:sz w:val="20"/>
                <w:szCs w:val="20"/>
                <w:lang w:val="en-US"/>
              </w:rPr>
              <w:t>*</w:t>
            </w:r>
          </w:p>
        </w:tc>
      </w:tr>
      <w:tr w:rsidR="00E71525" w:rsidRPr="00317E0D" w14:paraId="79F50C3D" w14:textId="77777777" w:rsidTr="00244ECA">
        <w:tc>
          <w:tcPr>
            <w:cnfStyle w:val="001000000000" w:firstRow="0" w:lastRow="0" w:firstColumn="1" w:lastColumn="0" w:oddVBand="0" w:evenVBand="0" w:oddHBand="0" w:evenHBand="0" w:firstRowFirstColumn="0" w:firstRowLastColumn="0" w:lastRowFirstColumn="0" w:lastRowLastColumn="0"/>
            <w:tcW w:w="1980" w:type="dxa"/>
          </w:tcPr>
          <w:p w14:paraId="57A38675" w14:textId="77777777" w:rsidR="00E71525" w:rsidRPr="00317E0D" w:rsidRDefault="00E71525" w:rsidP="00244ECA">
            <w:pPr>
              <w:spacing w:line="276" w:lineRule="auto"/>
              <w:rPr>
                <w:rFonts w:ascii="Times New Roman" w:hAnsi="Times New Roman" w:cs="Times New Roman"/>
                <w:b w:val="0"/>
                <w:bCs w:val="0"/>
                <w:sz w:val="20"/>
                <w:szCs w:val="20"/>
                <w:lang w:val="en-US"/>
              </w:rPr>
            </w:pPr>
            <w:r w:rsidRPr="00317E0D">
              <w:rPr>
                <w:rFonts w:ascii="Times New Roman" w:hAnsi="Times New Roman" w:cs="Times New Roman"/>
                <w:sz w:val="20"/>
                <w:szCs w:val="20"/>
                <w:lang w:val="en-US"/>
              </w:rPr>
              <w:t>Mean CD3+ cells per CD3+ ganglion (total)</w:t>
            </w:r>
          </w:p>
        </w:tc>
        <w:tc>
          <w:tcPr>
            <w:tcW w:w="992" w:type="dxa"/>
          </w:tcPr>
          <w:p w14:paraId="376A2566" w14:textId="77777777"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1.1 (0.8)</w:t>
            </w:r>
          </w:p>
        </w:tc>
        <w:tc>
          <w:tcPr>
            <w:tcW w:w="1134" w:type="dxa"/>
          </w:tcPr>
          <w:p w14:paraId="7E298D4C" w14:textId="77777777"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0.8 (0.4)</w:t>
            </w:r>
          </w:p>
        </w:tc>
        <w:tc>
          <w:tcPr>
            <w:tcW w:w="992" w:type="dxa"/>
          </w:tcPr>
          <w:p w14:paraId="1B1E953F" w14:textId="77777777"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0.8 (0.5)</w:t>
            </w:r>
          </w:p>
        </w:tc>
        <w:tc>
          <w:tcPr>
            <w:tcW w:w="1418" w:type="dxa"/>
          </w:tcPr>
          <w:p w14:paraId="7F50564B" w14:textId="77777777"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1.0 (0.7)</w:t>
            </w:r>
          </w:p>
        </w:tc>
        <w:tc>
          <w:tcPr>
            <w:tcW w:w="1559" w:type="dxa"/>
          </w:tcPr>
          <w:p w14:paraId="480B753B" w14:textId="77777777"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1.6 (1.1)</w:t>
            </w:r>
          </w:p>
        </w:tc>
        <w:tc>
          <w:tcPr>
            <w:tcW w:w="851" w:type="dxa"/>
          </w:tcPr>
          <w:p w14:paraId="7A9D272E" w14:textId="1ADED691"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317E0D">
              <w:rPr>
                <w:rFonts w:ascii="Times New Roman" w:hAnsi="Times New Roman" w:cs="Times New Roman"/>
                <w:b/>
                <w:bCs/>
                <w:sz w:val="20"/>
                <w:szCs w:val="20"/>
                <w:lang w:val="en-US"/>
              </w:rPr>
              <w:t>&lt;0.001</w:t>
            </w:r>
            <w:r>
              <w:rPr>
                <w:rFonts w:ascii="Times New Roman" w:hAnsi="Times New Roman" w:cs="Times New Roman"/>
                <w:b/>
                <w:bCs/>
                <w:sz w:val="20"/>
                <w:szCs w:val="20"/>
                <w:lang w:val="en-US"/>
              </w:rPr>
              <w:t>*</w:t>
            </w:r>
          </w:p>
        </w:tc>
      </w:tr>
      <w:tr w:rsidR="00E71525" w:rsidRPr="00317E0D" w14:paraId="163DFAA7" w14:textId="77777777" w:rsidTr="00244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8E37C04" w14:textId="77777777" w:rsidR="00E71525" w:rsidRPr="00317E0D" w:rsidRDefault="00E71525" w:rsidP="00244ECA">
            <w:pPr>
              <w:spacing w:line="276" w:lineRule="auto"/>
              <w:rPr>
                <w:rFonts w:ascii="Times New Roman" w:hAnsi="Times New Roman" w:cs="Times New Roman"/>
                <w:sz w:val="20"/>
                <w:szCs w:val="20"/>
                <w:lang w:val="en-US"/>
              </w:rPr>
            </w:pPr>
            <w:r w:rsidRPr="00317E0D">
              <w:rPr>
                <w:rFonts w:ascii="Times New Roman" w:hAnsi="Times New Roman" w:cs="Times New Roman"/>
                <w:sz w:val="20"/>
                <w:szCs w:val="20"/>
                <w:lang w:val="en-US"/>
              </w:rPr>
              <w:t>Mean CD3+ cells per CD3+ ganglion (ganglionic)</w:t>
            </w:r>
          </w:p>
        </w:tc>
        <w:tc>
          <w:tcPr>
            <w:tcW w:w="992" w:type="dxa"/>
          </w:tcPr>
          <w:p w14:paraId="5A198908" w14:textId="77777777"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0.5 (0.3)</w:t>
            </w:r>
          </w:p>
        </w:tc>
        <w:tc>
          <w:tcPr>
            <w:tcW w:w="1134" w:type="dxa"/>
          </w:tcPr>
          <w:p w14:paraId="20AAE11C" w14:textId="77777777"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0.4 (0.2)</w:t>
            </w:r>
          </w:p>
        </w:tc>
        <w:tc>
          <w:tcPr>
            <w:tcW w:w="992" w:type="dxa"/>
          </w:tcPr>
          <w:p w14:paraId="568AA38C" w14:textId="77777777"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0.4 (0.3)</w:t>
            </w:r>
          </w:p>
        </w:tc>
        <w:tc>
          <w:tcPr>
            <w:tcW w:w="1418" w:type="dxa"/>
          </w:tcPr>
          <w:p w14:paraId="1FB10A6D" w14:textId="77777777"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0.5 (0.3)</w:t>
            </w:r>
          </w:p>
        </w:tc>
        <w:tc>
          <w:tcPr>
            <w:tcW w:w="1559" w:type="dxa"/>
          </w:tcPr>
          <w:p w14:paraId="65E9C5E5" w14:textId="77777777"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0.6 (0.4)</w:t>
            </w:r>
          </w:p>
        </w:tc>
        <w:tc>
          <w:tcPr>
            <w:tcW w:w="851" w:type="dxa"/>
          </w:tcPr>
          <w:p w14:paraId="5459DB46" w14:textId="77777777"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0.068</w:t>
            </w:r>
          </w:p>
        </w:tc>
      </w:tr>
      <w:tr w:rsidR="00E71525" w:rsidRPr="00317E0D" w14:paraId="70F3F6D3" w14:textId="77777777" w:rsidTr="00244ECA">
        <w:tc>
          <w:tcPr>
            <w:cnfStyle w:val="001000000000" w:firstRow="0" w:lastRow="0" w:firstColumn="1" w:lastColumn="0" w:oddVBand="0" w:evenVBand="0" w:oddHBand="0" w:evenHBand="0" w:firstRowFirstColumn="0" w:firstRowLastColumn="0" w:lastRowFirstColumn="0" w:lastRowLastColumn="0"/>
            <w:tcW w:w="1980" w:type="dxa"/>
          </w:tcPr>
          <w:p w14:paraId="62C5938F" w14:textId="77777777" w:rsidR="00E71525" w:rsidRPr="00317E0D" w:rsidRDefault="00E71525" w:rsidP="00244ECA">
            <w:pPr>
              <w:spacing w:line="276" w:lineRule="auto"/>
              <w:rPr>
                <w:rFonts w:ascii="Times New Roman" w:hAnsi="Times New Roman" w:cs="Times New Roman"/>
                <w:sz w:val="20"/>
                <w:szCs w:val="20"/>
                <w:lang w:val="en-US"/>
              </w:rPr>
            </w:pPr>
            <w:r w:rsidRPr="00317E0D">
              <w:rPr>
                <w:rFonts w:ascii="Times New Roman" w:hAnsi="Times New Roman" w:cs="Times New Roman"/>
                <w:sz w:val="20"/>
                <w:szCs w:val="20"/>
                <w:lang w:val="en-US"/>
              </w:rPr>
              <w:t>Mean CD3+ cells per CD3+ ganglion (periganglionic)</w:t>
            </w:r>
          </w:p>
        </w:tc>
        <w:tc>
          <w:tcPr>
            <w:tcW w:w="992" w:type="dxa"/>
          </w:tcPr>
          <w:p w14:paraId="50BACC4F" w14:textId="77777777"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0.6 (0.6)</w:t>
            </w:r>
          </w:p>
        </w:tc>
        <w:tc>
          <w:tcPr>
            <w:tcW w:w="1134" w:type="dxa"/>
          </w:tcPr>
          <w:p w14:paraId="293CDA1A" w14:textId="77777777"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0.4 (0.2)</w:t>
            </w:r>
          </w:p>
        </w:tc>
        <w:tc>
          <w:tcPr>
            <w:tcW w:w="992" w:type="dxa"/>
          </w:tcPr>
          <w:p w14:paraId="1E87E466" w14:textId="77777777"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0.4 (0.2)</w:t>
            </w:r>
          </w:p>
        </w:tc>
        <w:tc>
          <w:tcPr>
            <w:tcW w:w="1418" w:type="dxa"/>
          </w:tcPr>
          <w:p w14:paraId="5E51E56F" w14:textId="77777777"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0.5 (0.4)</w:t>
            </w:r>
          </w:p>
        </w:tc>
        <w:tc>
          <w:tcPr>
            <w:tcW w:w="1559" w:type="dxa"/>
          </w:tcPr>
          <w:p w14:paraId="06DBBF00" w14:textId="77777777"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1.0 (0.8)</w:t>
            </w:r>
          </w:p>
        </w:tc>
        <w:tc>
          <w:tcPr>
            <w:tcW w:w="851" w:type="dxa"/>
          </w:tcPr>
          <w:p w14:paraId="373B1727" w14:textId="71DA3FDB"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317E0D">
              <w:rPr>
                <w:rFonts w:ascii="Times New Roman" w:hAnsi="Times New Roman" w:cs="Times New Roman"/>
                <w:b/>
                <w:bCs/>
                <w:sz w:val="20"/>
                <w:szCs w:val="20"/>
                <w:lang w:val="en-US"/>
              </w:rPr>
              <w:t>&lt;0.001</w:t>
            </w:r>
            <w:r>
              <w:rPr>
                <w:rFonts w:ascii="Times New Roman" w:hAnsi="Times New Roman" w:cs="Times New Roman"/>
                <w:b/>
                <w:bCs/>
                <w:sz w:val="20"/>
                <w:szCs w:val="20"/>
                <w:lang w:val="en-US"/>
              </w:rPr>
              <w:t>*</w:t>
            </w:r>
          </w:p>
        </w:tc>
      </w:tr>
      <w:tr w:rsidR="00E71525" w:rsidRPr="00317E0D" w14:paraId="7AC8EE86" w14:textId="77777777" w:rsidTr="00244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A50FDAD" w14:textId="77777777" w:rsidR="00E71525" w:rsidRPr="00317E0D" w:rsidRDefault="00E71525" w:rsidP="00244ECA">
            <w:pPr>
              <w:spacing w:line="276" w:lineRule="auto"/>
              <w:rPr>
                <w:rFonts w:ascii="Times New Roman" w:hAnsi="Times New Roman" w:cs="Times New Roman"/>
                <w:b w:val="0"/>
                <w:bCs w:val="0"/>
                <w:sz w:val="20"/>
                <w:szCs w:val="20"/>
                <w:lang w:val="en-US"/>
              </w:rPr>
            </w:pPr>
            <w:r w:rsidRPr="00317E0D">
              <w:rPr>
                <w:rFonts w:ascii="Times New Roman" w:hAnsi="Times New Roman" w:cs="Times New Roman"/>
                <w:sz w:val="20"/>
                <w:szCs w:val="20"/>
                <w:lang w:val="en-US"/>
              </w:rPr>
              <w:t>Maximum intraganglionic CD3+ cells per ganglion</w:t>
            </w:r>
          </w:p>
        </w:tc>
        <w:tc>
          <w:tcPr>
            <w:tcW w:w="992" w:type="dxa"/>
          </w:tcPr>
          <w:p w14:paraId="7020CDCE" w14:textId="77777777"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4.1 (2.7)</w:t>
            </w:r>
          </w:p>
        </w:tc>
        <w:tc>
          <w:tcPr>
            <w:tcW w:w="1134" w:type="dxa"/>
          </w:tcPr>
          <w:p w14:paraId="3584509F" w14:textId="77777777"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4.1 (1.6)</w:t>
            </w:r>
          </w:p>
        </w:tc>
        <w:tc>
          <w:tcPr>
            <w:tcW w:w="992" w:type="dxa"/>
          </w:tcPr>
          <w:p w14:paraId="3015B61C" w14:textId="77777777"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3.1 (2.6)</w:t>
            </w:r>
          </w:p>
        </w:tc>
        <w:tc>
          <w:tcPr>
            <w:tcW w:w="1418" w:type="dxa"/>
          </w:tcPr>
          <w:p w14:paraId="4BF81B8D" w14:textId="77777777"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4.0 (2.6)</w:t>
            </w:r>
          </w:p>
        </w:tc>
        <w:tc>
          <w:tcPr>
            <w:tcW w:w="1559" w:type="dxa"/>
          </w:tcPr>
          <w:p w14:paraId="0845BFBA" w14:textId="77777777"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4.9 (3.1)</w:t>
            </w:r>
          </w:p>
        </w:tc>
        <w:tc>
          <w:tcPr>
            <w:tcW w:w="851" w:type="dxa"/>
          </w:tcPr>
          <w:p w14:paraId="76D8EB54" w14:textId="5CD0A3D3" w:rsidR="00E71525" w:rsidRPr="00317E0D" w:rsidRDefault="00E71525" w:rsidP="00244E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317E0D">
              <w:rPr>
                <w:rFonts w:ascii="Times New Roman" w:hAnsi="Times New Roman" w:cs="Times New Roman"/>
                <w:b/>
                <w:bCs/>
                <w:sz w:val="20"/>
                <w:szCs w:val="20"/>
                <w:lang w:val="en-US"/>
              </w:rPr>
              <w:t>0.032</w:t>
            </w:r>
            <w:r>
              <w:rPr>
                <w:rFonts w:ascii="Times New Roman" w:hAnsi="Times New Roman" w:cs="Times New Roman"/>
                <w:b/>
                <w:bCs/>
                <w:sz w:val="20"/>
                <w:szCs w:val="20"/>
                <w:lang w:val="en-US"/>
              </w:rPr>
              <w:t>*</w:t>
            </w:r>
          </w:p>
        </w:tc>
      </w:tr>
      <w:tr w:rsidR="00E71525" w:rsidRPr="00317E0D" w14:paraId="0FBE99D8" w14:textId="77777777" w:rsidTr="00244ECA">
        <w:tc>
          <w:tcPr>
            <w:cnfStyle w:val="001000000000" w:firstRow="0" w:lastRow="0" w:firstColumn="1" w:lastColumn="0" w:oddVBand="0" w:evenVBand="0" w:oddHBand="0" w:evenHBand="0" w:firstRowFirstColumn="0" w:firstRowLastColumn="0" w:lastRowFirstColumn="0" w:lastRowLastColumn="0"/>
            <w:tcW w:w="1980" w:type="dxa"/>
          </w:tcPr>
          <w:p w14:paraId="09737202" w14:textId="77777777" w:rsidR="00E71525" w:rsidRPr="00317E0D" w:rsidRDefault="00E71525" w:rsidP="00244ECA">
            <w:pPr>
              <w:spacing w:line="276" w:lineRule="auto"/>
              <w:rPr>
                <w:rFonts w:ascii="Times New Roman" w:hAnsi="Times New Roman" w:cs="Times New Roman"/>
                <w:b w:val="0"/>
                <w:bCs w:val="0"/>
                <w:sz w:val="20"/>
                <w:szCs w:val="20"/>
                <w:lang w:val="en-US"/>
              </w:rPr>
            </w:pPr>
            <w:r w:rsidRPr="00317E0D">
              <w:rPr>
                <w:rFonts w:ascii="Times New Roman" w:hAnsi="Times New Roman" w:cs="Times New Roman"/>
                <w:sz w:val="20"/>
                <w:szCs w:val="20"/>
                <w:lang w:val="en-US"/>
              </w:rPr>
              <w:t>Maximum periganglionic CD3+ cells per ganglion</w:t>
            </w:r>
          </w:p>
        </w:tc>
        <w:tc>
          <w:tcPr>
            <w:tcW w:w="992" w:type="dxa"/>
          </w:tcPr>
          <w:p w14:paraId="2CE97CC9" w14:textId="77777777"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4.2 (3.8)</w:t>
            </w:r>
          </w:p>
        </w:tc>
        <w:tc>
          <w:tcPr>
            <w:tcW w:w="1134" w:type="dxa"/>
          </w:tcPr>
          <w:p w14:paraId="1464FE7E" w14:textId="77777777"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3.5 (1.8)</w:t>
            </w:r>
          </w:p>
        </w:tc>
        <w:tc>
          <w:tcPr>
            <w:tcW w:w="992" w:type="dxa"/>
          </w:tcPr>
          <w:p w14:paraId="0183E897" w14:textId="77777777"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2.4 (1.1)</w:t>
            </w:r>
          </w:p>
        </w:tc>
        <w:tc>
          <w:tcPr>
            <w:tcW w:w="1418" w:type="dxa"/>
          </w:tcPr>
          <w:p w14:paraId="3C7EA0E7" w14:textId="77777777"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4.3 (4.2)</w:t>
            </w:r>
          </w:p>
        </w:tc>
        <w:tc>
          <w:tcPr>
            <w:tcW w:w="1559" w:type="dxa"/>
          </w:tcPr>
          <w:p w14:paraId="60EF92A9" w14:textId="77777777"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17E0D">
              <w:rPr>
                <w:rFonts w:ascii="Times New Roman" w:hAnsi="Times New Roman" w:cs="Times New Roman"/>
                <w:sz w:val="20"/>
                <w:szCs w:val="20"/>
                <w:lang w:val="en-US"/>
              </w:rPr>
              <w:t>5.7 (4.7)</w:t>
            </w:r>
          </w:p>
        </w:tc>
        <w:tc>
          <w:tcPr>
            <w:tcW w:w="851" w:type="dxa"/>
          </w:tcPr>
          <w:p w14:paraId="61DA5368" w14:textId="4B29CBD0" w:rsidR="00E71525" w:rsidRPr="00317E0D" w:rsidRDefault="00E71525" w:rsidP="00244E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317E0D">
              <w:rPr>
                <w:rFonts w:ascii="Times New Roman" w:hAnsi="Times New Roman" w:cs="Times New Roman"/>
                <w:b/>
                <w:bCs/>
                <w:sz w:val="20"/>
                <w:szCs w:val="20"/>
                <w:lang w:val="en-US"/>
              </w:rPr>
              <w:t>0.001</w:t>
            </w:r>
            <w:r>
              <w:rPr>
                <w:rFonts w:ascii="Times New Roman" w:hAnsi="Times New Roman" w:cs="Times New Roman"/>
                <w:b/>
                <w:bCs/>
                <w:sz w:val="20"/>
                <w:szCs w:val="20"/>
                <w:lang w:val="en-US"/>
              </w:rPr>
              <w:t>*</w:t>
            </w:r>
          </w:p>
        </w:tc>
      </w:tr>
    </w:tbl>
    <w:p w14:paraId="1E20BDE0" w14:textId="77777777" w:rsidR="00E71525" w:rsidRPr="00317E0D" w:rsidRDefault="00E71525" w:rsidP="00E71525">
      <w:pPr>
        <w:rPr>
          <w:rFonts w:ascii="Times New Roman" w:hAnsi="Times New Roman" w:cs="Times New Roman"/>
          <w:sz w:val="20"/>
          <w:szCs w:val="20"/>
        </w:rPr>
      </w:pPr>
    </w:p>
    <w:p w14:paraId="3170DD6D" w14:textId="1F41D8BC" w:rsidR="00E71525" w:rsidRPr="00E71525" w:rsidRDefault="00E71525" w:rsidP="00E71525">
      <w:pPr>
        <w:rPr>
          <w:rFonts w:ascii="Times New Roman" w:hAnsi="Times New Roman" w:cs="Times New Roman"/>
          <w:i/>
          <w:iCs/>
          <w:color w:val="000000" w:themeColor="text1"/>
          <w:sz w:val="20"/>
          <w:szCs w:val="20"/>
          <w:lang w:val="en-US"/>
        </w:rPr>
      </w:pPr>
      <w:r w:rsidRPr="00E71525">
        <w:rPr>
          <w:rFonts w:ascii="Times New Roman" w:hAnsi="Times New Roman" w:cs="Times New Roman"/>
          <w:i/>
          <w:iCs/>
          <w:color w:val="000000" w:themeColor="text1"/>
          <w:sz w:val="20"/>
          <w:szCs w:val="20"/>
          <w:lang w:val="en-US"/>
        </w:rPr>
        <w:t>Supplementary figures</w:t>
      </w:r>
    </w:p>
    <w:p w14:paraId="51EB6C5F" w14:textId="2F1E1740" w:rsidR="00E71525" w:rsidRPr="00317E0D" w:rsidRDefault="00E71525" w:rsidP="00E71525">
      <w:pPr>
        <w:spacing w:line="240" w:lineRule="auto"/>
        <w:rPr>
          <w:rFonts w:ascii="Times New Roman" w:hAnsi="Times New Roman" w:cs="Times New Roman"/>
          <w:sz w:val="20"/>
          <w:szCs w:val="20"/>
          <w:lang w:val="en-US"/>
        </w:rPr>
      </w:pPr>
      <w:r w:rsidRPr="00317E0D">
        <w:rPr>
          <w:rStyle w:val="Fett"/>
          <w:rFonts w:ascii="Times New Roman" w:hAnsi="Times New Roman" w:cs="Times New Roman"/>
          <w:sz w:val="20"/>
          <w:szCs w:val="20"/>
          <w:lang w:val="en-US"/>
        </w:rPr>
        <w:t>Supplementary Fig 1 Enteric ganglion characteristics stratified by age</w:t>
      </w:r>
    </w:p>
    <w:p w14:paraId="30E8346A" w14:textId="32173D47" w:rsidR="00E71525" w:rsidRPr="00317E0D" w:rsidRDefault="00E71525" w:rsidP="00E71525">
      <w:pPr>
        <w:spacing w:line="240" w:lineRule="auto"/>
        <w:rPr>
          <w:rFonts w:ascii="Times New Roman" w:hAnsi="Times New Roman" w:cs="Times New Roman"/>
          <w:sz w:val="20"/>
          <w:szCs w:val="20"/>
          <w:lang w:val="en-US"/>
        </w:rPr>
      </w:pPr>
      <w:r w:rsidRPr="00317E0D">
        <w:rPr>
          <w:rFonts w:ascii="Times New Roman" w:hAnsi="Times New Roman" w:cs="Times New Roman"/>
          <w:sz w:val="20"/>
          <w:szCs w:val="20"/>
          <w:lang w:val="en-US"/>
        </w:rPr>
        <w:t xml:space="preserve">Comparison of enteric ganglion parameters in obstructive defecation syndrome (ODS, n=17), slow transit constipation (STC, n=24), combined ODS+STC (n=28), and controls (n=31), stratified by age (&lt;45, 45-65, and &gt;65 years). </w:t>
      </w:r>
      <w:r w:rsidRPr="00E71525">
        <w:rPr>
          <w:rFonts w:ascii="Times New Roman" w:hAnsi="Times New Roman" w:cs="Times New Roman"/>
          <w:b/>
          <w:bCs/>
          <w:sz w:val="20"/>
          <w:szCs w:val="20"/>
          <w:lang w:val="en-US"/>
        </w:rPr>
        <w:t>a</w:t>
      </w:r>
      <w:r w:rsidRPr="00317E0D">
        <w:rPr>
          <w:rFonts w:ascii="Times New Roman" w:hAnsi="Times New Roman" w:cs="Times New Roman"/>
          <w:b/>
          <w:bCs/>
          <w:sz w:val="20"/>
          <w:szCs w:val="20"/>
          <w:lang w:val="en-US"/>
        </w:rPr>
        <w:t>:</w:t>
      </w:r>
      <w:r w:rsidRPr="00317E0D">
        <w:rPr>
          <w:rFonts w:ascii="Times New Roman" w:hAnsi="Times New Roman" w:cs="Times New Roman"/>
          <w:sz w:val="20"/>
          <w:szCs w:val="20"/>
          <w:lang w:val="en-US"/>
        </w:rPr>
        <w:t xml:space="preserve"> Ganglionic density differed between patient groups (p=0.00145) but not by age. </w:t>
      </w:r>
      <w:r>
        <w:rPr>
          <w:rFonts w:ascii="Times New Roman" w:hAnsi="Times New Roman" w:cs="Times New Roman"/>
          <w:b/>
          <w:bCs/>
          <w:sz w:val="20"/>
          <w:szCs w:val="20"/>
          <w:lang w:val="en-US"/>
        </w:rPr>
        <w:t>b and d</w:t>
      </w:r>
      <w:r w:rsidRPr="00317E0D">
        <w:rPr>
          <w:rFonts w:ascii="Times New Roman" w:hAnsi="Times New Roman" w:cs="Times New Roman"/>
          <w:b/>
          <w:bCs/>
          <w:sz w:val="20"/>
          <w:szCs w:val="20"/>
          <w:lang w:val="en-US"/>
        </w:rPr>
        <w:t>:</w:t>
      </w:r>
      <w:r w:rsidRPr="00317E0D">
        <w:rPr>
          <w:rFonts w:ascii="Times New Roman" w:hAnsi="Times New Roman" w:cs="Times New Roman"/>
          <w:sz w:val="20"/>
          <w:szCs w:val="20"/>
          <w:lang w:val="en-US"/>
        </w:rPr>
        <w:t xml:space="preserve"> Mean ganglion area and maximum diameter varied by age (p=0.0441 and p=0.004) but not by patient group. </w:t>
      </w:r>
      <w:r>
        <w:rPr>
          <w:rFonts w:ascii="Times New Roman" w:hAnsi="Times New Roman" w:cs="Times New Roman"/>
          <w:b/>
          <w:bCs/>
          <w:sz w:val="20"/>
          <w:szCs w:val="20"/>
          <w:lang w:val="en-US"/>
        </w:rPr>
        <w:t>c</w:t>
      </w:r>
      <w:r w:rsidRPr="00317E0D">
        <w:rPr>
          <w:rFonts w:ascii="Times New Roman" w:hAnsi="Times New Roman" w:cs="Times New Roman"/>
          <w:b/>
          <w:bCs/>
          <w:sz w:val="20"/>
          <w:szCs w:val="20"/>
          <w:lang w:val="en-US"/>
        </w:rPr>
        <w:t>:</w:t>
      </w:r>
      <w:r w:rsidRPr="00317E0D">
        <w:rPr>
          <w:rFonts w:ascii="Times New Roman" w:hAnsi="Times New Roman" w:cs="Times New Roman"/>
          <w:sz w:val="20"/>
          <w:szCs w:val="20"/>
          <w:lang w:val="en-US"/>
        </w:rPr>
        <w:t xml:space="preserve"> Mean ganglion circularity showed differences between patient groups (p=0.0294) but not by age. Data are represented as boxplots (median, interquartile range) with individual data points</w:t>
      </w:r>
    </w:p>
    <w:p w14:paraId="572FA524" w14:textId="77777777" w:rsidR="00E71525" w:rsidRPr="00317E0D" w:rsidRDefault="00E71525" w:rsidP="00E71525">
      <w:pPr>
        <w:rPr>
          <w:rFonts w:ascii="Times New Roman" w:hAnsi="Times New Roman" w:cs="Times New Roman"/>
          <w:sz w:val="20"/>
          <w:szCs w:val="20"/>
          <w:lang w:val="en-US"/>
        </w:rPr>
      </w:pPr>
      <w:r w:rsidRPr="00317E0D">
        <w:rPr>
          <w:rFonts w:ascii="Times New Roman" w:hAnsi="Times New Roman" w:cs="Times New Roman"/>
          <w:sz w:val="20"/>
          <w:szCs w:val="20"/>
          <w:lang w:val="en-US"/>
        </w:rPr>
        <w:t xml:space="preserve"> </w:t>
      </w:r>
      <w:r w:rsidRPr="00317E0D">
        <w:rPr>
          <w:rFonts w:ascii="Times New Roman" w:hAnsi="Times New Roman" w:cs="Times New Roman"/>
          <w:noProof/>
          <w:sz w:val="20"/>
          <w:szCs w:val="20"/>
          <w:lang w:val="en-US"/>
        </w:rPr>
        <w:drawing>
          <wp:inline distT="0" distB="0" distL="0" distR="0" wp14:anchorId="5FA38494" wp14:editId="1F220233">
            <wp:extent cx="5760720" cy="3830955"/>
            <wp:effectExtent l="0" t="0" r="5080" b="4445"/>
            <wp:docPr id="29756504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65044" name="Grafik 297565044"/>
                    <pic:cNvPicPr/>
                  </pic:nvPicPr>
                  <pic:blipFill>
                    <a:blip r:embed="rId4">
                      <a:extLst>
                        <a:ext uri="{96DAC541-7B7A-43D3-8B79-37D633B846F1}">
                          <asvg:svgBlip xmlns:asvg="http://schemas.microsoft.com/office/drawing/2016/SVG/main" r:embed="rId5"/>
                        </a:ext>
                      </a:extLst>
                    </a:blip>
                    <a:stretch>
                      <a:fillRect/>
                    </a:stretch>
                  </pic:blipFill>
                  <pic:spPr>
                    <a:xfrm>
                      <a:off x="0" y="0"/>
                      <a:ext cx="5760720" cy="3830955"/>
                    </a:xfrm>
                    <a:prstGeom prst="rect">
                      <a:avLst/>
                    </a:prstGeom>
                  </pic:spPr>
                </pic:pic>
              </a:graphicData>
            </a:graphic>
          </wp:inline>
        </w:drawing>
      </w:r>
    </w:p>
    <w:p w14:paraId="59DF3FBA" w14:textId="774CDB80" w:rsidR="00E71525" w:rsidRPr="00317E0D" w:rsidRDefault="00E71525" w:rsidP="00E71525">
      <w:pPr>
        <w:spacing w:line="240" w:lineRule="auto"/>
        <w:rPr>
          <w:rFonts w:ascii="Times New Roman" w:hAnsi="Times New Roman" w:cs="Times New Roman"/>
          <w:b/>
          <w:bCs/>
          <w:sz w:val="20"/>
          <w:szCs w:val="20"/>
          <w:lang w:val="en-US" w:eastAsia="de-DE"/>
        </w:rPr>
      </w:pPr>
      <w:r w:rsidRPr="00317E0D">
        <w:rPr>
          <w:rFonts w:ascii="Times New Roman" w:hAnsi="Times New Roman" w:cs="Times New Roman"/>
          <w:b/>
          <w:bCs/>
          <w:sz w:val="20"/>
          <w:szCs w:val="20"/>
          <w:lang w:val="en-US" w:eastAsia="de-DE"/>
        </w:rPr>
        <w:t>Supplementary Fig 2 Enteric ganglion characteristics stratified by sex</w:t>
      </w:r>
    </w:p>
    <w:p w14:paraId="649CA0C1" w14:textId="77777777" w:rsidR="00E71525" w:rsidRPr="00317E0D" w:rsidRDefault="00E71525" w:rsidP="00E71525">
      <w:pPr>
        <w:spacing w:line="240" w:lineRule="auto"/>
        <w:rPr>
          <w:rFonts w:ascii="Times New Roman" w:hAnsi="Times New Roman" w:cs="Times New Roman"/>
          <w:sz w:val="20"/>
          <w:szCs w:val="20"/>
          <w:lang w:val="en-US" w:eastAsia="de-DE"/>
        </w:rPr>
      </w:pPr>
      <w:r w:rsidRPr="00317E0D">
        <w:rPr>
          <w:rFonts w:ascii="Times New Roman" w:hAnsi="Times New Roman" w:cs="Times New Roman"/>
          <w:sz w:val="20"/>
          <w:szCs w:val="20"/>
          <w:lang w:val="en-US" w:eastAsia="de-DE"/>
        </w:rPr>
        <w:t xml:space="preserve">Comparison of enteric ganglion parameters in obstructive defecation syndrome (ODS, n=17), slow transit constipation (STC, n=24), combined ODS+STC (n=28), and controls (n=31), stratified by sex (male, female). </w:t>
      </w:r>
    </w:p>
    <w:p w14:paraId="2F8FDDFA" w14:textId="4781B0FF" w:rsidR="00E71525" w:rsidRPr="00E71525" w:rsidRDefault="00E71525" w:rsidP="00E71525">
      <w:pPr>
        <w:spacing w:line="240" w:lineRule="auto"/>
        <w:rPr>
          <w:rFonts w:ascii="Times New Roman" w:hAnsi="Times New Roman" w:cs="Times New Roman"/>
          <w:b/>
          <w:bCs/>
          <w:sz w:val="20"/>
          <w:szCs w:val="20"/>
          <w:lang w:val="en-US" w:eastAsia="de-DE"/>
        </w:rPr>
      </w:pPr>
      <w:r>
        <w:rPr>
          <w:rFonts w:ascii="Times New Roman" w:hAnsi="Times New Roman" w:cs="Times New Roman"/>
          <w:b/>
          <w:bCs/>
          <w:sz w:val="20"/>
          <w:szCs w:val="20"/>
          <w:lang w:val="en-US" w:eastAsia="de-DE"/>
        </w:rPr>
        <w:t>a</w:t>
      </w:r>
      <w:r w:rsidRPr="00317E0D">
        <w:rPr>
          <w:rFonts w:ascii="Times New Roman" w:hAnsi="Times New Roman" w:cs="Times New Roman"/>
          <w:b/>
          <w:bCs/>
          <w:sz w:val="20"/>
          <w:szCs w:val="20"/>
          <w:lang w:val="en-US" w:eastAsia="de-DE"/>
        </w:rPr>
        <w:t>:</w:t>
      </w:r>
      <w:r w:rsidRPr="00317E0D">
        <w:rPr>
          <w:rFonts w:ascii="Times New Roman" w:hAnsi="Times New Roman" w:cs="Times New Roman"/>
          <w:sz w:val="20"/>
          <w:szCs w:val="20"/>
          <w:lang w:val="en-US" w:eastAsia="de-DE"/>
        </w:rPr>
        <w:t xml:space="preserve"> Ganglionic density differed between patient groups (p=0.004) but not by sexes, with no significant interaction. </w:t>
      </w:r>
      <w:r>
        <w:rPr>
          <w:rFonts w:ascii="Times New Roman" w:hAnsi="Times New Roman" w:cs="Times New Roman"/>
          <w:b/>
          <w:bCs/>
          <w:sz w:val="20"/>
          <w:szCs w:val="20"/>
          <w:lang w:val="en-US" w:eastAsia="de-DE"/>
        </w:rPr>
        <w:t>b</w:t>
      </w:r>
      <w:r w:rsidRPr="00317E0D">
        <w:rPr>
          <w:rFonts w:ascii="Times New Roman" w:hAnsi="Times New Roman" w:cs="Times New Roman"/>
          <w:b/>
          <w:bCs/>
          <w:sz w:val="20"/>
          <w:szCs w:val="20"/>
          <w:lang w:val="en-US" w:eastAsia="de-DE"/>
        </w:rPr>
        <w:t xml:space="preserve"> and </w:t>
      </w:r>
      <w:r>
        <w:rPr>
          <w:rFonts w:ascii="Times New Roman" w:hAnsi="Times New Roman" w:cs="Times New Roman"/>
          <w:b/>
          <w:bCs/>
          <w:sz w:val="20"/>
          <w:szCs w:val="20"/>
          <w:lang w:val="en-US" w:eastAsia="de-DE"/>
        </w:rPr>
        <w:t>d</w:t>
      </w:r>
      <w:r w:rsidRPr="00317E0D">
        <w:rPr>
          <w:rFonts w:ascii="Times New Roman" w:hAnsi="Times New Roman" w:cs="Times New Roman"/>
          <w:b/>
          <w:bCs/>
          <w:sz w:val="20"/>
          <w:szCs w:val="20"/>
          <w:lang w:val="en-US" w:eastAsia="de-DE"/>
        </w:rPr>
        <w:t>:</w:t>
      </w:r>
      <w:r w:rsidRPr="00317E0D">
        <w:rPr>
          <w:rFonts w:ascii="Times New Roman" w:hAnsi="Times New Roman" w:cs="Times New Roman"/>
          <w:sz w:val="20"/>
          <w:szCs w:val="20"/>
          <w:lang w:val="en-US" w:eastAsia="de-DE"/>
        </w:rPr>
        <w:t xml:space="preserve"> Mean ganglion area and maximum diameter showed no significant differences by group or sex. </w:t>
      </w:r>
      <w:r>
        <w:rPr>
          <w:rFonts w:ascii="Times New Roman" w:hAnsi="Times New Roman" w:cs="Times New Roman"/>
          <w:b/>
          <w:bCs/>
          <w:sz w:val="20"/>
          <w:szCs w:val="20"/>
          <w:lang w:val="en-US" w:eastAsia="de-DE"/>
        </w:rPr>
        <w:t>c</w:t>
      </w:r>
      <w:r w:rsidRPr="00317E0D">
        <w:rPr>
          <w:rFonts w:ascii="Times New Roman" w:hAnsi="Times New Roman" w:cs="Times New Roman"/>
          <w:b/>
          <w:bCs/>
          <w:sz w:val="20"/>
          <w:szCs w:val="20"/>
          <w:lang w:val="en-US" w:eastAsia="de-DE"/>
        </w:rPr>
        <w:t>:</w:t>
      </w:r>
      <w:r w:rsidRPr="00317E0D">
        <w:rPr>
          <w:rFonts w:ascii="Times New Roman" w:hAnsi="Times New Roman" w:cs="Times New Roman"/>
          <w:sz w:val="20"/>
          <w:szCs w:val="20"/>
          <w:lang w:val="en-US" w:eastAsia="de-DE"/>
        </w:rPr>
        <w:t xml:space="preserve"> Mean ganglion circularity differed between patient groups (p=0.018) but not by sex</w:t>
      </w:r>
      <w:r>
        <w:rPr>
          <w:rFonts w:ascii="Times New Roman" w:hAnsi="Times New Roman" w:cs="Times New Roman"/>
          <w:sz w:val="20"/>
          <w:szCs w:val="20"/>
          <w:lang w:val="en-US" w:eastAsia="de-DE"/>
        </w:rPr>
        <w:t>.</w:t>
      </w:r>
      <w:r w:rsidRPr="00317E0D">
        <w:rPr>
          <w:rFonts w:ascii="Times New Roman" w:hAnsi="Times New Roman" w:cs="Times New Roman"/>
          <w:sz w:val="20"/>
          <w:szCs w:val="20"/>
          <w:lang w:val="en-US" w:eastAsia="de-DE"/>
        </w:rPr>
        <w:t xml:space="preserve"> Data are presented as boxplots (median, interquartile range) and individual data points</w:t>
      </w:r>
    </w:p>
    <w:p w14:paraId="3D437D69" w14:textId="77777777" w:rsidR="00E71525" w:rsidRPr="00317E0D" w:rsidRDefault="00E71525" w:rsidP="00E71525">
      <w:pPr>
        <w:spacing w:line="240" w:lineRule="auto"/>
        <w:rPr>
          <w:rFonts w:ascii="Times New Roman" w:hAnsi="Times New Roman" w:cs="Times New Roman"/>
          <w:strike/>
          <w:sz w:val="20"/>
          <w:szCs w:val="20"/>
          <w:lang w:val="en-US"/>
        </w:rPr>
      </w:pPr>
    </w:p>
    <w:p w14:paraId="612F0AD2" w14:textId="77777777" w:rsidR="00E71525" w:rsidRPr="00317E0D" w:rsidRDefault="00E71525" w:rsidP="00E71525">
      <w:pPr>
        <w:rPr>
          <w:rFonts w:ascii="Times New Roman" w:hAnsi="Times New Roman" w:cs="Times New Roman"/>
          <w:sz w:val="20"/>
          <w:szCs w:val="20"/>
          <w:lang w:val="en-US"/>
        </w:rPr>
      </w:pPr>
      <w:r w:rsidRPr="00317E0D">
        <w:rPr>
          <w:rFonts w:ascii="Times New Roman" w:hAnsi="Times New Roman" w:cs="Times New Roman"/>
          <w:noProof/>
          <w:sz w:val="20"/>
          <w:szCs w:val="20"/>
          <w:lang w:val="en-US"/>
        </w:rPr>
        <w:lastRenderedPageBreak/>
        <w:drawing>
          <wp:inline distT="0" distB="0" distL="0" distR="0" wp14:anchorId="76BB2F99" wp14:editId="061DEEF5">
            <wp:extent cx="5760720" cy="3830955"/>
            <wp:effectExtent l="0" t="0" r="5080" b="4445"/>
            <wp:docPr id="201228291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82911" name="Grafik 2012282911"/>
                    <pic:cNvPicPr/>
                  </pic:nvPicPr>
                  <pic:blipFill>
                    <a:blip r:embed="rId6">
                      <a:extLst>
                        <a:ext uri="{96DAC541-7B7A-43D3-8B79-37D633B846F1}">
                          <asvg:svgBlip xmlns:asvg="http://schemas.microsoft.com/office/drawing/2016/SVG/main" r:embed="rId7"/>
                        </a:ext>
                      </a:extLst>
                    </a:blip>
                    <a:stretch>
                      <a:fillRect/>
                    </a:stretch>
                  </pic:blipFill>
                  <pic:spPr>
                    <a:xfrm>
                      <a:off x="0" y="0"/>
                      <a:ext cx="5760720" cy="3830955"/>
                    </a:xfrm>
                    <a:prstGeom prst="rect">
                      <a:avLst/>
                    </a:prstGeom>
                  </pic:spPr>
                </pic:pic>
              </a:graphicData>
            </a:graphic>
          </wp:inline>
        </w:drawing>
      </w:r>
    </w:p>
    <w:p w14:paraId="64BF06C9" w14:textId="71B85F3D" w:rsidR="00E71525" w:rsidRPr="00317E0D" w:rsidRDefault="00E71525" w:rsidP="00E71525">
      <w:pPr>
        <w:spacing w:line="240" w:lineRule="auto"/>
        <w:rPr>
          <w:rFonts w:ascii="Times New Roman" w:hAnsi="Times New Roman" w:cs="Times New Roman"/>
          <w:sz w:val="20"/>
          <w:szCs w:val="20"/>
          <w:lang w:val="en-US"/>
        </w:rPr>
      </w:pPr>
      <w:r w:rsidRPr="00317E0D">
        <w:rPr>
          <w:rStyle w:val="Fett"/>
          <w:rFonts w:ascii="Times New Roman" w:hAnsi="Times New Roman" w:cs="Times New Roman"/>
          <w:sz w:val="20"/>
          <w:szCs w:val="20"/>
          <w:lang w:val="en-US"/>
        </w:rPr>
        <w:t>Supplementary Fig 3 MAP2 positivity stratified by age</w:t>
      </w:r>
    </w:p>
    <w:p w14:paraId="750ECABB" w14:textId="0B64A556" w:rsidR="00E71525" w:rsidRPr="00317E0D" w:rsidRDefault="00E71525" w:rsidP="00E71525">
      <w:pPr>
        <w:spacing w:line="240" w:lineRule="auto"/>
        <w:rPr>
          <w:rFonts w:ascii="Times New Roman" w:hAnsi="Times New Roman" w:cs="Times New Roman"/>
          <w:sz w:val="20"/>
          <w:szCs w:val="20"/>
          <w:lang w:val="en-US"/>
        </w:rPr>
      </w:pPr>
      <w:r w:rsidRPr="00317E0D">
        <w:rPr>
          <w:rFonts w:ascii="Times New Roman" w:hAnsi="Times New Roman" w:cs="Times New Roman"/>
          <w:sz w:val="20"/>
          <w:szCs w:val="20"/>
          <w:lang w:val="en-US"/>
        </w:rPr>
        <w:t xml:space="preserve">Comparison of MAP2 immunoreactivity in obstructive defecation syndrome (ODS, n=17), slow transit constipation (STC, n=24), combined ODS+STC (n=28), and controls (n=31), stratified by age (&lt;45, 45-65, and &gt;65 years). </w:t>
      </w:r>
      <w:r>
        <w:rPr>
          <w:rFonts w:ascii="Times New Roman" w:hAnsi="Times New Roman" w:cs="Times New Roman"/>
          <w:sz w:val="20"/>
          <w:szCs w:val="20"/>
          <w:lang w:val="en-US"/>
        </w:rPr>
        <w:t>a</w:t>
      </w:r>
      <w:r w:rsidRPr="00317E0D">
        <w:rPr>
          <w:rFonts w:ascii="Times New Roman" w:hAnsi="Times New Roman" w:cs="Times New Roman"/>
          <w:b/>
          <w:bCs/>
          <w:sz w:val="20"/>
          <w:szCs w:val="20"/>
          <w:lang w:val="en-US"/>
        </w:rPr>
        <w:t>:</w:t>
      </w:r>
      <w:r w:rsidRPr="00317E0D">
        <w:rPr>
          <w:rFonts w:ascii="Times New Roman" w:hAnsi="Times New Roman" w:cs="Times New Roman"/>
          <w:sz w:val="20"/>
          <w:szCs w:val="20"/>
          <w:lang w:val="en-US"/>
        </w:rPr>
        <w:t xml:space="preserve"> Mean MAP2 positivity showed no differences between patient groups or age categories, with no significant interaction effect. </w:t>
      </w:r>
      <w:r>
        <w:rPr>
          <w:rFonts w:ascii="Times New Roman" w:hAnsi="Times New Roman" w:cs="Times New Roman"/>
          <w:b/>
          <w:bCs/>
          <w:sz w:val="20"/>
          <w:szCs w:val="20"/>
          <w:lang w:val="en-US"/>
        </w:rPr>
        <w:t>b</w:t>
      </w:r>
      <w:r w:rsidRPr="00317E0D">
        <w:rPr>
          <w:rFonts w:ascii="Times New Roman" w:hAnsi="Times New Roman" w:cs="Times New Roman"/>
          <w:b/>
          <w:bCs/>
          <w:sz w:val="20"/>
          <w:szCs w:val="20"/>
          <w:lang w:val="en-US"/>
        </w:rPr>
        <w:t>:</w:t>
      </w:r>
      <w:r w:rsidRPr="00317E0D">
        <w:rPr>
          <w:rFonts w:ascii="Times New Roman" w:hAnsi="Times New Roman" w:cs="Times New Roman"/>
          <w:sz w:val="20"/>
          <w:szCs w:val="20"/>
          <w:lang w:val="en-US"/>
        </w:rPr>
        <w:t xml:space="preserve"> Percentage of MAP2-positive ganglia showed a non-significant trend across age groups with no interaction effects. Data are presented as boxplots (median, interquartile range) and individual data points</w:t>
      </w:r>
    </w:p>
    <w:p w14:paraId="53845F98" w14:textId="77777777" w:rsidR="00E71525" w:rsidRPr="00317E0D" w:rsidRDefault="00E71525" w:rsidP="00E71525">
      <w:pPr>
        <w:rPr>
          <w:rFonts w:ascii="Times New Roman" w:hAnsi="Times New Roman" w:cs="Times New Roman"/>
          <w:sz w:val="20"/>
          <w:szCs w:val="20"/>
          <w:lang w:val="en-US" w:eastAsia="de-DE"/>
        </w:rPr>
      </w:pPr>
    </w:p>
    <w:p w14:paraId="18542735" w14:textId="77777777" w:rsidR="00E71525" w:rsidRPr="00317E0D" w:rsidRDefault="00E71525" w:rsidP="00E71525">
      <w:pPr>
        <w:rPr>
          <w:rFonts w:ascii="Times New Roman" w:hAnsi="Times New Roman" w:cs="Times New Roman"/>
          <w:sz w:val="20"/>
          <w:szCs w:val="20"/>
          <w:lang w:val="en-US"/>
        </w:rPr>
      </w:pPr>
      <w:r w:rsidRPr="00317E0D">
        <w:rPr>
          <w:rFonts w:ascii="Times New Roman" w:hAnsi="Times New Roman" w:cs="Times New Roman"/>
          <w:noProof/>
          <w:sz w:val="20"/>
          <w:szCs w:val="20"/>
          <w:lang w:val="en-US"/>
        </w:rPr>
        <w:drawing>
          <wp:inline distT="0" distB="0" distL="0" distR="0" wp14:anchorId="4564CF8C" wp14:editId="477AFD95">
            <wp:extent cx="5760720" cy="2160270"/>
            <wp:effectExtent l="0" t="0" r="5080" b="0"/>
            <wp:docPr id="38095210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52107" name="Grafik 380952107"/>
                    <pic:cNvPicPr/>
                  </pic:nvPicPr>
                  <pic:blipFill>
                    <a:blip r:embed="rId8">
                      <a:extLst>
                        <a:ext uri="{96DAC541-7B7A-43D3-8B79-37D633B846F1}">
                          <asvg:svgBlip xmlns:asvg="http://schemas.microsoft.com/office/drawing/2016/SVG/main" r:embed="rId9"/>
                        </a:ext>
                      </a:extLst>
                    </a:blip>
                    <a:stretch>
                      <a:fillRect/>
                    </a:stretch>
                  </pic:blipFill>
                  <pic:spPr>
                    <a:xfrm>
                      <a:off x="0" y="0"/>
                      <a:ext cx="5760720" cy="2160270"/>
                    </a:xfrm>
                    <a:prstGeom prst="rect">
                      <a:avLst/>
                    </a:prstGeom>
                  </pic:spPr>
                </pic:pic>
              </a:graphicData>
            </a:graphic>
          </wp:inline>
        </w:drawing>
      </w:r>
    </w:p>
    <w:p w14:paraId="6F70DFB0" w14:textId="2F92CE91" w:rsidR="00E71525" w:rsidRPr="00317E0D" w:rsidRDefault="00E71525" w:rsidP="00E71525">
      <w:pPr>
        <w:spacing w:line="240" w:lineRule="auto"/>
        <w:rPr>
          <w:rFonts w:ascii="Times New Roman" w:hAnsi="Times New Roman" w:cs="Times New Roman"/>
          <w:b/>
          <w:bCs/>
          <w:sz w:val="20"/>
          <w:szCs w:val="20"/>
          <w:lang w:val="en-US" w:eastAsia="de-DE"/>
        </w:rPr>
      </w:pPr>
      <w:r w:rsidRPr="00317E0D">
        <w:rPr>
          <w:rFonts w:ascii="Times New Roman" w:hAnsi="Times New Roman" w:cs="Times New Roman"/>
          <w:b/>
          <w:bCs/>
          <w:sz w:val="20"/>
          <w:szCs w:val="20"/>
          <w:lang w:val="en-US" w:eastAsia="de-DE"/>
        </w:rPr>
        <w:t>Supplementary Fig 4</w:t>
      </w:r>
      <w:r>
        <w:rPr>
          <w:rFonts w:ascii="Times New Roman" w:hAnsi="Times New Roman" w:cs="Times New Roman"/>
          <w:b/>
          <w:bCs/>
          <w:sz w:val="20"/>
          <w:szCs w:val="20"/>
          <w:lang w:val="en-US" w:eastAsia="de-DE"/>
        </w:rPr>
        <w:t xml:space="preserve"> </w:t>
      </w:r>
      <w:r w:rsidRPr="00317E0D">
        <w:rPr>
          <w:rFonts w:ascii="Times New Roman" w:hAnsi="Times New Roman" w:cs="Times New Roman"/>
          <w:b/>
          <w:bCs/>
          <w:sz w:val="20"/>
          <w:szCs w:val="20"/>
          <w:lang w:val="en-US" w:eastAsia="de-DE"/>
        </w:rPr>
        <w:t>MAP2 positivity stratified by sex</w:t>
      </w:r>
    </w:p>
    <w:p w14:paraId="02DFD07D" w14:textId="4EAE65C8" w:rsidR="00E71525" w:rsidRPr="00317E0D" w:rsidRDefault="00E71525" w:rsidP="00E71525">
      <w:pPr>
        <w:spacing w:line="240" w:lineRule="auto"/>
        <w:rPr>
          <w:rFonts w:ascii="Times New Roman" w:hAnsi="Times New Roman" w:cs="Times New Roman"/>
          <w:sz w:val="20"/>
          <w:szCs w:val="20"/>
          <w:lang w:val="en-US" w:eastAsia="de-DE"/>
        </w:rPr>
      </w:pPr>
      <w:r w:rsidRPr="00317E0D">
        <w:rPr>
          <w:rFonts w:ascii="Times New Roman" w:hAnsi="Times New Roman" w:cs="Times New Roman"/>
          <w:sz w:val="20"/>
          <w:szCs w:val="20"/>
          <w:lang w:val="en-US" w:eastAsia="de-DE"/>
        </w:rPr>
        <w:t xml:space="preserve">Comparison of MAP2 immunoreactivity in obstructive defecation syndrome (ODS, n=17), slow transit constipation (STC, n=24), combined ODS + STC (n=28), and controls (n=31), stratified by sex (male, female). </w:t>
      </w:r>
      <w:r>
        <w:rPr>
          <w:rFonts w:ascii="Times New Roman" w:hAnsi="Times New Roman" w:cs="Times New Roman"/>
          <w:b/>
          <w:bCs/>
          <w:sz w:val="20"/>
          <w:szCs w:val="20"/>
          <w:lang w:val="en-US" w:eastAsia="de-DE"/>
        </w:rPr>
        <w:t>a</w:t>
      </w:r>
      <w:r w:rsidRPr="00317E0D">
        <w:rPr>
          <w:rFonts w:ascii="Times New Roman" w:hAnsi="Times New Roman" w:cs="Times New Roman"/>
          <w:b/>
          <w:bCs/>
          <w:sz w:val="20"/>
          <w:szCs w:val="20"/>
          <w:lang w:val="en-US" w:eastAsia="de-DE"/>
        </w:rPr>
        <w:t>:</w:t>
      </w:r>
      <w:r w:rsidRPr="00317E0D">
        <w:rPr>
          <w:rFonts w:ascii="Times New Roman" w:hAnsi="Times New Roman" w:cs="Times New Roman"/>
          <w:sz w:val="20"/>
          <w:szCs w:val="20"/>
          <w:lang w:val="en-US" w:eastAsia="de-DE"/>
        </w:rPr>
        <w:t xml:space="preserve"> Mean MAP2 positivity showed no differences between patient groups or sex, with no significant interaction effect. </w:t>
      </w:r>
      <w:r>
        <w:rPr>
          <w:rFonts w:ascii="Times New Roman" w:hAnsi="Times New Roman" w:cs="Times New Roman"/>
          <w:b/>
          <w:bCs/>
          <w:sz w:val="20"/>
          <w:szCs w:val="20"/>
          <w:lang w:val="en-US" w:eastAsia="de-DE"/>
        </w:rPr>
        <w:t>b</w:t>
      </w:r>
      <w:r w:rsidRPr="00317E0D">
        <w:rPr>
          <w:rFonts w:ascii="Times New Roman" w:hAnsi="Times New Roman" w:cs="Times New Roman"/>
          <w:b/>
          <w:bCs/>
          <w:sz w:val="20"/>
          <w:szCs w:val="20"/>
          <w:lang w:val="en-US" w:eastAsia="de-DE"/>
        </w:rPr>
        <w:t>:</w:t>
      </w:r>
      <w:r w:rsidRPr="00317E0D">
        <w:rPr>
          <w:rFonts w:ascii="Times New Roman" w:hAnsi="Times New Roman" w:cs="Times New Roman"/>
          <w:sz w:val="20"/>
          <w:szCs w:val="20"/>
          <w:lang w:val="en-US" w:eastAsia="de-DE"/>
        </w:rPr>
        <w:t xml:space="preserve"> Percentage of MAP2-positive ganglia showed no group or sex differences, with a non-significant interaction. </w:t>
      </w:r>
    </w:p>
    <w:p w14:paraId="4DFBBEDB" w14:textId="047C4141" w:rsidR="00E71525" w:rsidRPr="00E71525" w:rsidRDefault="00E71525" w:rsidP="00E71525">
      <w:pPr>
        <w:spacing w:line="240" w:lineRule="auto"/>
        <w:rPr>
          <w:rFonts w:ascii="Times New Roman" w:hAnsi="Times New Roman" w:cs="Times New Roman"/>
          <w:strike/>
          <w:sz w:val="20"/>
          <w:szCs w:val="20"/>
          <w:lang w:val="en-US" w:eastAsia="de-DE"/>
        </w:rPr>
      </w:pPr>
      <w:r w:rsidRPr="00317E0D">
        <w:rPr>
          <w:rFonts w:ascii="Times New Roman" w:hAnsi="Times New Roman" w:cs="Times New Roman"/>
          <w:sz w:val="20"/>
          <w:szCs w:val="20"/>
          <w:lang w:val="en-US" w:eastAsia="de-DE"/>
        </w:rPr>
        <w:t>Data are presented as boxplots (median, interquartile range) and individual data points</w:t>
      </w:r>
    </w:p>
    <w:p w14:paraId="4DD5AB67" w14:textId="77777777" w:rsidR="00E71525" w:rsidRPr="00317E0D" w:rsidRDefault="00E71525" w:rsidP="00E71525">
      <w:pPr>
        <w:rPr>
          <w:rFonts w:ascii="Times New Roman" w:hAnsi="Times New Roman" w:cs="Times New Roman"/>
          <w:sz w:val="20"/>
          <w:szCs w:val="20"/>
          <w:lang w:val="en-US"/>
        </w:rPr>
      </w:pPr>
      <w:r w:rsidRPr="00317E0D">
        <w:rPr>
          <w:rFonts w:ascii="Times New Roman" w:hAnsi="Times New Roman" w:cs="Times New Roman"/>
          <w:noProof/>
          <w:sz w:val="20"/>
          <w:szCs w:val="20"/>
          <w:lang w:val="en-US"/>
        </w:rPr>
        <w:lastRenderedPageBreak/>
        <w:drawing>
          <wp:inline distT="0" distB="0" distL="0" distR="0" wp14:anchorId="545F2128" wp14:editId="6087E82D">
            <wp:extent cx="5760720" cy="2160270"/>
            <wp:effectExtent l="0" t="0" r="5080" b="0"/>
            <wp:docPr id="90933892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38923" name="Grafik 909338923"/>
                    <pic:cNvPicPr/>
                  </pic:nvPicPr>
                  <pic:blipFill>
                    <a:blip r:embed="rId10">
                      <a:extLst>
                        <a:ext uri="{96DAC541-7B7A-43D3-8B79-37D633B846F1}">
                          <asvg:svgBlip xmlns:asvg="http://schemas.microsoft.com/office/drawing/2016/SVG/main" r:embed="rId11"/>
                        </a:ext>
                      </a:extLst>
                    </a:blip>
                    <a:stretch>
                      <a:fillRect/>
                    </a:stretch>
                  </pic:blipFill>
                  <pic:spPr>
                    <a:xfrm>
                      <a:off x="0" y="0"/>
                      <a:ext cx="5760720" cy="2160270"/>
                    </a:xfrm>
                    <a:prstGeom prst="rect">
                      <a:avLst/>
                    </a:prstGeom>
                  </pic:spPr>
                </pic:pic>
              </a:graphicData>
            </a:graphic>
          </wp:inline>
        </w:drawing>
      </w:r>
    </w:p>
    <w:p w14:paraId="191D7213" w14:textId="15EBCA64" w:rsidR="00E71525" w:rsidRPr="00317E0D" w:rsidRDefault="00E71525" w:rsidP="00E71525">
      <w:pPr>
        <w:spacing w:line="240" w:lineRule="auto"/>
        <w:rPr>
          <w:rFonts w:ascii="Times New Roman" w:hAnsi="Times New Roman" w:cs="Times New Roman"/>
          <w:b/>
          <w:bCs/>
          <w:sz w:val="20"/>
          <w:szCs w:val="20"/>
          <w:lang w:val="en-US" w:eastAsia="de-DE"/>
        </w:rPr>
      </w:pPr>
      <w:r w:rsidRPr="00317E0D">
        <w:rPr>
          <w:rFonts w:ascii="Times New Roman" w:hAnsi="Times New Roman" w:cs="Times New Roman"/>
          <w:b/>
          <w:bCs/>
          <w:sz w:val="20"/>
          <w:szCs w:val="20"/>
          <w:lang w:val="en-US" w:eastAsia="de-DE"/>
        </w:rPr>
        <w:t>Supplementary Fig</w:t>
      </w:r>
      <w:r>
        <w:rPr>
          <w:rFonts w:ascii="Times New Roman" w:hAnsi="Times New Roman" w:cs="Times New Roman"/>
          <w:b/>
          <w:bCs/>
          <w:sz w:val="20"/>
          <w:szCs w:val="20"/>
          <w:lang w:val="en-US" w:eastAsia="de-DE"/>
        </w:rPr>
        <w:t xml:space="preserve"> </w:t>
      </w:r>
      <w:r w:rsidRPr="00317E0D">
        <w:rPr>
          <w:rFonts w:ascii="Times New Roman" w:hAnsi="Times New Roman" w:cs="Times New Roman"/>
          <w:b/>
          <w:bCs/>
          <w:sz w:val="20"/>
          <w:szCs w:val="20"/>
          <w:lang w:val="en-US" w:eastAsia="de-DE"/>
        </w:rPr>
        <w:t>5 Comparison of HuC/D immunoreactivity in a subset of patients</w:t>
      </w:r>
    </w:p>
    <w:p w14:paraId="03A6DF75" w14:textId="5C9E6DED" w:rsidR="00E71525" w:rsidRPr="00317E0D" w:rsidRDefault="00E71525" w:rsidP="00E71525">
      <w:pPr>
        <w:spacing w:line="240" w:lineRule="auto"/>
        <w:rPr>
          <w:rFonts w:ascii="Times New Roman" w:hAnsi="Times New Roman" w:cs="Times New Roman"/>
          <w:sz w:val="20"/>
          <w:szCs w:val="20"/>
          <w:lang w:val="en-US" w:eastAsia="de-DE"/>
        </w:rPr>
      </w:pPr>
      <w:r w:rsidRPr="00317E0D">
        <w:rPr>
          <w:rFonts w:ascii="Times New Roman" w:hAnsi="Times New Roman" w:cs="Times New Roman"/>
          <w:sz w:val="20"/>
          <w:szCs w:val="20"/>
          <w:lang w:val="en-US" w:eastAsia="de-DE"/>
        </w:rPr>
        <w:t>Comparison of neuronal nuclear marker HuC/D in ODS, STC, combined ODS+STC, and controls (5 per group)</w:t>
      </w:r>
      <w:r>
        <w:rPr>
          <w:rFonts w:ascii="Times New Roman" w:hAnsi="Times New Roman" w:cs="Times New Roman"/>
          <w:sz w:val="20"/>
          <w:szCs w:val="20"/>
          <w:lang w:val="en-US" w:eastAsia="de-DE"/>
        </w:rPr>
        <w:t xml:space="preserve"> </w:t>
      </w:r>
      <w:r>
        <w:rPr>
          <w:rFonts w:ascii="Times New Roman" w:hAnsi="Times New Roman" w:cs="Times New Roman"/>
          <w:b/>
          <w:bCs/>
          <w:sz w:val="20"/>
          <w:szCs w:val="20"/>
          <w:lang w:val="en-US" w:eastAsia="de-DE"/>
        </w:rPr>
        <w:t>a</w:t>
      </w:r>
      <w:r w:rsidRPr="00317E0D">
        <w:rPr>
          <w:rFonts w:ascii="Times New Roman" w:hAnsi="Times New Roman" w:cs="Times New Roman"/>
          <w:b/>
          <w:bCs/>
          <w:sz w:val="20"/>
          <w:szCs w:val="20"/>
          <w:lang w:val="en-US" w:eastAsia="de-DE"/>
        </w:rPr>
        <w:t>:</w:t>
      </w:r>
      <w:r w:rsidRPr="00317E0D">
        <w:rPr>
          <w:rFonts w:ascii="Times New Roman" w:hAnsi="Times New Roman" w:cs="Times New Roman"/>
          <w:sz w:val="20"/>
          <w:szCs w:val="20"/>
          <w:lang w:val="en-US" w:eastAsia="de-DE"/>
        </w:rPr>
        <w:t xml:space="preserve"> Mean HuC/D-positive cells per ganglion did not differ between groups p=0.18). </w:t>
      </w:r>
      <w:r>
        <w:rPr>
          <w:rFonts w:ascii="Times New Roman" w:hAnsi="Times New Roman" w:cs="Times New Roman"/>
          <w:b/>
          <w:bCs/>
          <w:sz w:val="20"/>
          <w:szCs w:val="20"/>
          <w:lang w:val="en-US" w:eastAsia="de-DE"/>
        </w:rPr>
        <w:t>b</w:t>
      </w:r>
      <w:r w:rsidRPr="00317E0D">
        <w:rPr>
          <w:rFonts w:ascii="Times New Roman" w:hAnsi="Times New Roman" w:cs="Times New Roman"/>
          <w:b/>
          <w:bCs/>
          <w:sz w:val="20"/>
          <w:szCs w:val="20"/>
          <w:lang w:val="en-US" w:eastAsia="de-DE"/>
        </w:rPr>
        <w:t>:</w:t>
      </w:r>
      <w:r w:rsidRPr="00317E0D">
        <w:rPr>
          <w:rFonts w:ascii="Times New Roman" w:hAnsi="Times New Roman" w:cs="Times New Roman"/>
          <w:sz w:val="20"/>
          <w:szCs w:val="20"/>
          <w:lang w:val="en-US" w:eastAsia="de-DE"/>
        </w:rPr>
        <w:t xml:space="preserve"> Linear neuronal density (HuC/D-positive cells/mm) differed between groups (p=0.047), with elevated values in all constipation groups, although pairwise comparisons reached no significance after correction. Data are presented as violin plots with superimposed boxplots (median, interquartile range) and individual data points</w:t>
      </w:r>
    </w:p>
    <w:p w14:paraId="33D72FEC" w14:textId="77777777" w:rsidR="00E71525" w:rsidRPr="00317E0D" w:rsidRDefault="00E71525" w:rsidP="00E71525">
      <w:pPr>
        <w:rPr>
          <w:rFonts w:ascii="Times New Roman" w:hAnsi="Times New Roman" w:cs="Times New Roman"/>
          <w:sz w:val="20"/>
          <w:szCs w:val="20"/>
          <w:lang w:val="en-US" w:eastAsia="de-DE"/>
        </w:rPr>
      </w:pPr>
    </w:p>
    <w:p w14:paraId="61562ED9" w14:textId="77777777" w:rsidR="00E71525" w:rsidRPr="00317E0D" w:rsidRDefault="00E71525" w:rsidP="00E71525">
      <w:pPr>
        <w:rPr>
          <w:rFonts w:ascii="Times New Roman" w:hAnsi="Times New Roman" w:cs="Times New Roman"/>
          <w:sz w:val="20"/>
          <w:szCs w:val="20"/>
          <w:lang w:val="en-US" w:eastAsia="de-DE"/>
        </w:rPr>
      </w:pPr>
      <w:r w:rsidRPr="00317E0D">
        <w:rPr>
          <w:rFonts w:ascii="Times New Roman" w:hAnsi="Times New Roman" w:cs="Times New Roman"/>
          <w:noProof/>
          <w:sz w:val="20"/>
          <w:szCs w:val="20"/>
          <w:lang w:val="en-US" w:eastAsia="de-DE"/>
        </w:rPr>
        <w:drawing>
          <wp:inline distT="0" distB="0" distL="0" distR="0" wp14:anchorId="58E2EEB9" wp14:editId="14ED0A06">
            <wp:extent cx="5760720" cy="1776095"/>
            <wp:effectExtent l="0" t="0" r="5080" b="1905"/>
            <wp:docPr id="14609941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94116" name="Grafik 1460994116"/>
                    <pic:cNvPicPr/>
                  </pic:nvPicPr>
                  <pic:blipFill>
                    <a:blip r:embed="rId12">
                      <a:extLst>
                        <a:ext uri="{96DAC541-7B7A-43D3-8B79-37D633B846F1}">
                          <asvg:svgBlip xmlns:asvg="http://schemas.microsoft.com/office/drawing/2016/SVG/main" r:embed="rId13"/>
                        </a:ext>
                      </a:extLst>
                    </a:blip>
                    <a:stretch>
                      <a:fillRect/>
                    </a:stretch>
                  </pic:blipFill>
                  <pic:spPr>
                    <a:xfrm>
                      <a:off x="0" y="0"/>
                      <a:ext cx="5760720" cy="1776095"/>
                    </a:xfrm>
                    <a:prstGeom prst="rect">
                      <a:avLst/>
                    </a:prstGeom>
                  </pic:spPr>
                </pic:pic>
              </a:graphicData>
            </a:graphic>
          </wp:inline>
        </w:drawing>
      </w:r>
    </w:p>
    <w:p w14:paraId="42502AED" w14:textId="6E0CADB9" w:rsidR="00E71525" w:rsidRPr="00317E0D" w:rsidRDefault="00E71525" w:rsidP="00E71525">
      <w:pPr>
        <w:spacing w:line="240" w:lineRule="auto"/>
        <w:rPr>
          <w:rFonts w:ascii="Times New Roman" w:hAnsi="Times New Roman" w:cs="Times New Roman"/>
          <w:b/>
          <w:bCs/>
          <w:sz w:val="20"/>
          <w:szCs w:val="20"/>
          <w:lang w:val="en-US" w:eastAsia="de-DE"/>
        </w:rPr>
      </w:pPr>
      <w:r w:rsidRPr="00317E0D">
        <w:rPr>
          <w:rFonts w:ascii="Times New Roman" w:hAnsi="Times New Roman" w:cs="Times New Roman"/>
          <w:b/>
          <w:bCs/>
          <w:sz w:val="20"/>
          <w:szCs w:val="20"/>
          <w:lang w:val="en-US" w:eastAsia="de-DE"/>
        </w:rPr>
        <w:t>Supplementary Fig 6 CD3-positive lymphocytes stratified by age</w:t>
      </w:r>
    </w:p>
    <w:p w14:paraId="1F310F2F" w14:textId="42B713B8" w:rsidR="00E71525" w:rsidRPr="00317E0D" w:rsidRDefault="00E71525" w:rsidP="00E71525">
      <w:pPr>
        <w:spacing w:line="240" w:lineRule="auto"/>
        <w:rPr>
          <w:rFonts w:ascii="Times New Roman" w:hAnsi="Times New Roman" w:cs="Times New Roman"/>
          <w:strike/>
          <w:sz w:val="20"/>
          <w:szCs w:val="20"/>
          <w:u w:val="single"/>
          <w:lang w:val="en-US" w:eastAsia="de-DE"/>
        </w:rPr>
      </w:pPr>
      <w:r w:rsidRPr="00317E0D">
        <w:rPr>
          <w:rFonts w:ascii="Times New Roman" w:hAnsi="Times New Roman" w:cs="Times New Roman"/>
          <w:sz w:val="20"/>
          <w:szCs w:val="20"/>
          <w:lang w:val="en-US" w:eastAsia="de-DE"/>
        </w:rPr>
        <w:t xml:space="preserve">Comparison of CD3+ T lymphocyte distribution in obstructive defecation syndrome (ODS, n=17), slow transit constipation (STC, n=24), combined ODS+STC (n=28), and controls (n=31), stratified by age (&lt;45, 45-65, and &gt;65 years). </w:t>
      </w:r>
      <w:r>
        <w:rPr>
          <w:rFonts w:ascii="Times New Roman" w:hAnsi="Times New Roman" w:cs="Times New Roman"/>
          <w:b/>
          <w:bCs/>
          <w:sz w:val="20"/>
          <w:szCs w:val="20"/>
          <w:lang w:val="en-US" w:eastAsia="de-DE"/>
        </w:rPr>
        <w:t>a</w:t>
      </w:r>
      <w:r w:rsidRPr="00317E0D">
        <w:rPr>
          <w:rFonts w:ascii="Times New Roman" w:hAnsi="Times New Roman" w:cs="Times New Roman"/>
          <w:b/>
          <w:bCs/>
          <w:sz w:val="20"/>
          <w:szCs w:val="20"/>
          <w:lang w:val="en-US" w:eastAsia="de-DE"/>
        </w:rPr>
        <w:t xml:space="preserve"> and </w:t>
      </w:r>
      <w:r>
        <w:rPr>
          <w:rFonts w:ascii="Times New Roman" w:hAnsi="Times New Roman" w:cs="Times New Roman"/>
          <w:b/>
          <w:bCs/>
          <w:sz w:val="20"/>
          <w:szCs w:val="20"/>
          <w:lang w:val="en-US" w:eastAsia="de-DE"/>
        </w:rPr>
        <w:t>b</w:t>
      </w:r>
      <w:r w:rsidRPr="00317E0D">
        <w:rPr>
          <w:rFonts w:ascii="Times New Roman" w:hAnsi="Times New Roman" w:cs="Times New Roman"/>
          <w:b/>
          <w:bCs/>
          <w:sz w:val="20"/>
          <w:szCs w:val="20"/>
          <w:lang w:val="en-US" w:eastAsia="de-DE"/>
        </w:rPr>
        <w:t>:</w:t>
      </w:r>
      <w:r w:rsidRPr="00317E0D">
        <w:rPr>
          <w:rFonts w:ascii="Times New Roman" w:hAnsi="Times New Roman" w:cs="Times New Roman"/>
          <w:sz w:val="20"/>
          <w:szCs w:val="20"/>
          <w:lang w:val="en-US" w:eastAsia="de-DE"/>
        </w:rPr>
        <w:t xml:space="preserve"> Percentage of CD3+ ganglia and mean CD3+ cells per ganglion differed between patient groups (p=0.004) but not by age, with no interaction effect. </w:t>
      </w:r>
      <w:r>
        <w:rPr>
          <w:rFonts w:ascii="Times New Roman" w:hAnsi="Times New Roman" w:cs="Times New Roman"/>
          <w:b/>
          <w:bCs/>
          <w:sz w:val="20"/>
          <w:szCs w:val="20"/>
          <w:lang w:val="en-US" w:eastAsia="de-DE"/>
        </w:rPr>
        <w:t>c</w:t>
      </w:r>
      <w:r w:rsidRPr="00317E0D">
        <w:rPr>
          <w:rFonts w:ascii="Times New Roman" w:hAnsi="Times New Roman" w:cs="Times New Roman"/>
          <w:b/>
          <w:bCs/>
          <w:sz w:val="20"/>
          <w:szCs w:val="20"/>
          <w:lang w:val="en-US" w:eastAsia="de-DE"/>
        </w:rPr>
        <w:t>:</w:t>
      </w:r>
      <w:r w:rsidRPr="00317E0D">
        <w:rPr>
          <w:rFonts w:ascii="Times New Roman" w:hAnsi="Times New Roman" w:cs="Times New Roman"/>
          <w:sz w:val="20"/>
          <w:szCs w:val="20"/>
          <w:lang w:val="en-US" w:eastAsia="de-DE"/>
        </w:rPr>
        <w:t xml:space="preserve"> Maximum number of intraganglionic CD3+ cells showed no significant differences. </w:t>
      </w:r>
      <w:r>
        <w:rPr>
          <w:rFonts w:ascii="Times New Roman" w:hAnsi="Times New Roman" w:cs="Times New Roman"/>
          <w:b/>
          <w:bCs/>
          <w:sz w:val="20"/>
          <w:szCs w:val="20"/>
          <w:lang w:val="en-US" w:eastAsia="de-DE"/>
        </w:rPr>
        <w:t>d</w:t>
      </w:r>
      <w:r w:rsidRPr="00317E0D">
        <w:rPr>
          <w:rFonts w:ascii="Times New Roman" w:hAnsi="Times New Roman" w:cs="Times New Roman"/>
          <w:b/>
          <w:bCs/>
          <w:sz w:val="20"/>
          <w:szCs w:val="20"/>
          <w:lang w:val="en-US" w:eastAsia="de-DE"/>
        </w:rPr>
        <w:t>:</w:t>
      </w:r>
      <w:r w:rsidRPr="00317E0D">
        <w:rPr>
          <w:rFonts w:ascii="Times New Roman" w:hAnsi="Times New Roman" w:cs="Times New Roman"/>
          <w:sz w:val="20"/>
          <w:szCs w:val="20"/>
          <w:lang w:val="en-US" w:eastAsia="de-DE"/>
        </w:rPr>
        <w:t xml:space="preserve"> Maximum number of periganglionic CD3+ cells differed between groups (p&lt;0.01) but not by age. Data are presented as boxplots (median, interquartile range) with individual data points</w:t>
      </w:r>
    </w:p>
    <w:p w14:paraId="38203FB6" w14:textId="77777777" w:rsidR="00E71525" w:rsidRPr="00317E0D" w:rsidRDefault="00E71525" w:rsidP="00E71525">
      <w:pPr>
        <w:rPr>
          <w:rFonts w:ascii="Times New Roman" w:hAnsi="Times New Roman" w:cs="Times New Roman"/>
          <w:sz w:val="20"/>
          <w:szCs w:val="20"/>
          <w:lang w:val="en-US"/>
        </w:rPr>
      </w:pPr>
      <w:r w:rsidRPr="00317E0D">
        <w:rPr>
          <w:rFonts w:ascii="Times New Roman" w:hAnsi="Times New Roman" w:cs="Times New Roman"/>
          <w:noProof/>
          <w:sz w:val="20"/>
          <w:szCs w:val="20"/>
          <w:lang w:val="en-US"/>
        </w:rPr>
        <w:lastRenderedPageBreak/>
        <w:drawing>
          <wp:inline distT="0" distB="0" distL="0" distR="0" wp14:anchorId="64A64159" wp14:editId="5925E3E0">
            <wp:extent cx="5760720" cy="3830955"/>
            <wp:effectExtent l="0" t="0" r="5080" b="4445"/>
            <wp:docPr id="44802351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23511" name="Grafik 448023511"/>
                    <pic:cNvPicPr/>
                  </pic:nvPicPr>
                  <pic:blipFill>
                    <a:blip r:embed="rId14">
                      <a:extLst>
                        <a:ext uri="{96DAC541-7B7A-43D3-8B79-37D633B846F1}">
                          <asvg:svgBlip xmlns:asvg="http://schemas.microsoft.com/office/drawing/2016/SVG/main" r:embed="rId15"/>
                        </a:ext>
                      </a:extLst>
                    </a:blip>
                    <a:stretch>
                      <a:fillRect/>
                    </a:stretch>
                  </pic:blipFill>
                  <pic:spPr>
                    <a:xfrm>
                      <a:off x="0" y="0"/>
                      <a:ext cx="5760720" cy="3830955"/>
                    </a:xfrm>
                    <a:prstGeom prst="rect">
                      <a:avLst/>
                    </a:prstGeom>
                  </pic:spPr>
                </pic:pic>
              </a:graphicData>
            </a:graphic>
          </wp:inline>
        </w:drawing>
      </w:r>
    </w:p>
    <w:p w14:paraId="48390774" w14:textId="0F97A709" w:rsidR="00E71525" w:rsidRPr="00317E0D" w:rsidRDefault="00E71525" w:rsidP="00E71525">
      <w:pPr>
        <w:spacing w:line="240" w:lineRule="auto"/>
        <w:rPr>
          <w:rFonts w:ascii="Times New Roman" w:hAnsi="Times New Roman" w:cs="Times New Roman"/>
          <w:b/>
          <w:bCs/>
          <w:sz w:val="20"/>
          <w:szCs w:val="20"/>
          <w:lang w:val="en-US" w:eastAsia="de-DE"/>
        </w:rPr>
      </w:pPr>
      <w:r w:rsidRPr="00317E0D">
        <w:rPr>
          <w:rFonts w:ascii="Times New Roman" w:hAnsi="Times New Roman" w:cs="Times New Roman"/>
          <w:b/>
          <w:bCs/>
          <w:sz w:val="20"/>
          <w:szCs w:val="20"/>
          <w:lang w:val="en-US" w:eastAsia="de-DE"/>
        </w:rPr>
        <w:t>Supplementary Fig 7 CD3-positive lymphocytes stratified by sex</w:t>
      </w:r>
    </w:p>
    <w:p w14:paraId="4EDFBAEA" w14:textId="77777777" w:rsidR="00E71525" w:rsidRPr="00317E0D" w:rsidRDefault="00E71525" w:rsidP="00E71525">
      <w:pPr>
        <w:spacing w:line="240" w:lineRule="auto"/>
        <w:rPr>
          <w:rFonts w:ascii="Times New Roman" w:hAnsi="Times New Roman" w:cs="Times New Roman"/>
          <w:sz w:val="20"/>
          <w:szCs w:val="20"/>
          <w:lang w:val="en-US" w:eastAsia="de-DE"/>
        </w:rPr>
      </w:pPr>
      <w:r w:rsidRPr="00317E0D">
        <w:rPr>
          <w:rFonts w:ascii="Times New Roman" w:hAnsi="Times New Roman" w:cs="Times New Roman"/>
          <w:sz w:val="20"/>
          <w:szCs w:val="20"/>
          <w:lang w:val="en-US" w:eastAsia="de-DE"/>
        </w:rPr>
        <w:t xml:space="preserve">Comparison of CD3+ T lymphocyte distribution in obstructive defecation syndrome (ODS, n=17), slow transit constipation (STC, n=24), combined ODS +STC (n=28), and controls (n=31), stratified by sex (male, female). </w:t>
      </w:r>
    </w:p>
    <w:p w14:paraId="7B6B7E8C" w14:textId="06693B39" w:rsidR="00E71525" w:rsidRPr="00317E0D" w:rsidRDefault="00E71525" w:rsidP="00E71525">
      <w:pPr>
        <w:spacing w:line="240" w:lineRule="auto"/>
        <w:rPr>
          <w:rFonts w:ascii="Times New Roman" w:hAnsi="Times New Roman" w:cs="Times New Roman"/>
          <w:sz w:val="20"/>
          <w:szCs w:val="20"/>
          <w:lang w:val="en-US" w:eastAsia="de-DE"/>
        </w:rPr>
      </w:pPr>
      <w:r w:rsidRPr="00317E0D">
        <w:rPr>
          <w:rFonts w:ascii="Times New Roman" w:hAnsi="Times New Roman" w:cs="Times New Roman"/>
          <w:b/>
          <w:bCs/>
          <w:sz w:val="20"/>
          <w:szCs w:val="20"/>
          <w:lang w:val="en-US" w:eastAsia="de-DE"/>
        </w:rPr>
        <w:t>A and B:</w:t>
      </w:r>
      <w:r w:rsidRPr="00317E0D">
        <w:rPr>
          <w:rFonts w:ascii="Times New Roman" w:hAnsi="Times New Roman" w:cs="Times New Roman"/>
          <w:sz w:val="20"/>
          <w:szCs w:val="20"/>
          <w:lang w:val="en-US" w:eastAsia="de-DE"/>
        </w:rPr>
        <w:t xml:space="preserve"> Proportion of CD3+ ganglia and mean CD3+ cells per ganglion differed between patient groups (p=0.002 and p=0.0005) but not by sex, and with no interaction effect </w:t>
      </w:r>
      <w:r w:rsidRPr="00317E0D">
        <w:rPr>
          <w:rFonts w:ascii="Times New Roman" w:hAnsi="Times New Roman" w:cs="Times New Roman"/>
          <w:b/>
          <w:bCs/>
          <w:sz w:val="20"/>
          <w:szCs w:val="20"/>
          <w:lang w:val="en-US" w:eastAsia="de-DE"/>
        </w:rPr>
        <w:t>C:</w:t>
      </w:r>
      <w:r w:rsidRPr="00317E0D">
        <w:rPr>
          <w:rFonts w:ascii="Times New Roman" w:hAnsi="Times New Roman" w:cs="Times New Roman"/>
          <w:sz w:val="20"/>
          <w:szCs w:val="20"/>
          <w:lang w:val="en-US" w:eastAsia="de-DE"/>
        </w:rPr>
        <w:t xml:space="preserve"> Maximum number of intraganglionic CD3+ cells showed no significant differences. </w:t>
      </w:r>
      <w:r w:rsidRPr="00317E0D">
        <w:rPr>
          <w:rFonts w:ascii="Times New Roman" w:hAnsi="Times New Roman" w:cs="Times New Roman"/>
          <w:b/>
          <w:bCs/>
          <w:sz w:val="20"/>
          <w:szCs w:val="20"/>
          <w:lang w:val="en-US" w:eastAsia="de-DE"/>
        </w:rPr>
        <w:t>D:</w:t>
      </w:r>
      <w:r w:rsidRPr="00317E0D">
        <w:rPr>
          <w:rFonts w:ascii="Times New Roman" w:hAnsi="Times New Roman" w:cs="Times New Roman"/>
          <w:sz w:val="20"/>
          <w:szCs w:val="20"/>
          <w:lang w:val="en-US" w:eastAsia="de-DE"/>
        </w:rPr>
        <w:t xml:space="preserve"> Maximum number of periganglionic CD3+ cells differed between groups (p&lt;0.01), with a non-significant interaction trend 8pbetween patient group and sex (p</w:t>
      </w:r>
      <w:r w:rsidRPr="00317E0D">
        <w:rPr>
          <w:rFonts w:ascii="Times New Roman" w:hAnsi="Times New Roman" w:cs="Times New Roman"/>
          <w:sz w:val="20"/>
          <w:szCs w:val="20"/>
          <w:lang w:val="en-US" w:eastAsia="de-DE"/>
        </w:rPr>
        <w:sym w:font="Symbol" w:char="F0BB"/>
      </w:r>
      <w:r w:rsidRPr="00317E0D">
        <w:rPr>
          <w:rFonts w:ascii="Times New Roman" w:hAnsi="Times New Roman" w:cs="Times New Roman"/>
          <w:sz w:val="20"/>
          <w:szCs w:val="20"/>
          <w:lang w:val="en-US" w:eastAsia="de-DE"/>
        </w:rPr>
        <w:t>0.09) and no main effect of sex. Data are presented as boxplots (median, interquartile range) with individual data points</w:t>
      </w:r>
    </w:p>
    <w:p w14:paraId="65E2C5DB" w14:textId="77777777" w:rsidR="00E71525" w:rsidRPr="00317E0D" w:rsidRDefault="00E71525" w:rsidP="00E71525">
      <w:pPr>
        <w:rPr>
          <w:rFonts w:ascii="Times New Roman" w:hAnsi="Times New Roman" w:cs="Times New Roman"/>
          <w:sz w:val="20"/>
          <w:szCs w:val="20"/>
          <w:lang w:val="en-US"/>
        </w:rPr>
      </w:pPr>
    </w:p>
    <w:p w14:paraId="47CD4C48" w14:textId="77777777" w:rsidR="00E71525" w:rsidRPr="00317E0D" w:rsidRDefault="00E71525" w:rsidP="00E71525">
      <w:pPr>
        <w:rPr>
          <w:rFonts w:ascii="Times New Roman" w:hAnsi="Times New Roman" w:cs="Times New Roman"/>
          <w:sz w:val="20"/>
          <w:szCs w:val="20"/>
          <w:lang w:val="en-US"/>
        </w:rPr>
      </w:pPr>
    </w:p>
    <w:p w14:paraId="29F44B50" w14:textId="77777777" w:rsidR="00E71525" w:rsidRPr="00317E0D" w:rsidRDefault="00E71525" w:rsidP="00E71525">
      <w:pPr>
        <w:rPr>
          <w:rFonts w:ascii="Times New Roman" w:hAnsi="Times New Roman" w:cs="Times New Roman"/>
          <w:sz w:val="20"/>
          <w:szCs w:val="20"/>
          <w:lang w:val="en-US"/>
        </w:rPr>
      </w:pPr>
      <w:r w:rsidRPr="00317E0D">
        <w:rPr>
          <w:rFonts w:ascii="Times New Roman" w:hAnsi="Times New Roman" w:cs="Times New Roman"/>
          <w:noProof/>
          <w:sz w:val="20"/>
          <w:szCs w:val="20"/>
          <w:lang w:val="en-US"/>
        </w:rPr>
        <w:lastRenderedPageBreak/>
        <w:drawing>
          <wp:inline distT="0" distB="0" distL="0" distR="0" wp14:anchorId="1DA3DB79" wp14:editId="3227754B">
            <wp:extent cx="5760720" cy="3830955"/>
            <wp:effectExtent l="0" t="0" r="5080" b="4445"/>
            <wp:docPr id="211761796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17960" name="Grafik 2117617960"/>
                    <pic:cNvPicPr/>
                  </pic:nvPicPr>
                  <pic:blipFill>
                    <a:blip r:embed="rId16">
                      <a:extLst>
                        <a:ext uri="{96DAC541-7B7A-43D3-8B79-37D633B846F1}">
                          <asvg:svgBlip xmlns:asvg="http://schemas.microsoft.com/office/drawing/2016/SVG/main" r:embed="rId17"/>
                        </a:ext>
                      </a:extLst>
                    </a:blip>
                    <a:stretch>
                      <a:fillRect/>
                    </a:stretch>
                  </pic:blipFill>
                  <pic:spPr>
                    <a:xfrm>
                      <a:off x="0" y="0"/>
                      <a:ext cx="5760720" cy="3830955"/>
                    </a:xfrm>
                    <a:prstGeom prst="rect">
                      <a:avLst/>
                    </a:prstGeom>
                  </pic:spPr>
                </pic:pic>
              </a:graphicData>
            </a:graphic>
          </wp:inline>
        </w:drawing>
      </w:r>
    </w:p>
    <w:p w14:paraId="1BF9F7C8" w14:textId="77777777" w:rsidR="00E71525" w:rsidRPr="00317E0D" w:rsidRDefault="00E71525" w:rsidP="00E71525">
      <w:pPr>
        <w:rPr>
          <w:rFonts w:ascii="Times New Roman" w:hAnsi="Times New Roman" w:cs="Times New Roman"/>
          <w:color w:val="000000" w:themeColor="text1"/>
          <w:sz w:val="20"/>
          <w:szCs w:val="20"/>
          <w:u w:val="single"/>
          <w:lang w:val="en-US"/>
        </w:rPr>
      </w:pPr>
    </w:p>
    <w:p w14:paraId="0FBB47EA" w14:textId="77777777" w:rsidR="00C9517E" w:rsidRDefault="00C9517E"/>
    <w:sectPr w:rsidR="00C9517E" w:rsidSect="00E71525">
      <w:footerReference w:type="even" r:id="rId18"/>
      <w:footerReference w:type="default" r:id="rId1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691035922"/>
      <w:docPartObj>
        <w:docPartGallery w:val="Page Numbers (Bottom of Page)"/>
        <w:docPartUnique/>
      </w:docPartObj>
    </w:sdtPr>
    <w:sdtContent>
      <w:p w14:paraId="2ECB8AE6" w14:textId="77777777" w:rsidR="00E71525" w:rsidRDefault="00E71525" w:rsidP="003C230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fldChar w:fldCharType="end"/>
        </w:r>
      </w:p>
    </w:sdtContent>
  </w:sdt>
  <w:p w14:paraId="519C6C6D" w14:textId="77777777" w:rsidR="00E71525" w:rsidRDefault="00E71525" w:rsidP="005F37E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066255414"/>
      <w:docPartObj>
        <w:docPartGallery w:val="Page Numbers (Bottom of Page)"/>
        <w:docPartUnique/>
      </w:docPartObj>
    </w:sdtPr>
    <w:sdtEndPr>
      <w:rPr>
        <w:rStyle w:val="Seitenzahl"/>
        <w:rFonts w:ascii="Times New Roman" w:hAnsi="Times New Roman" w:cs="Times New Roman"/>
        <w:sz w:val="20"/>
        <w:szCs w:val="20"/>
      </w:rPr>
    </w:sdtEndPr>
    <w:sdtContent>
      <w:p w14:paraId="6CA34057" w14:textId="77777777" w:rsidR="00E71525" w:rsidRPr="005F37E1" w:rsidRDefault="00E71525" w:rsidP="003C2303">
        <w:pPr>
          <w:pStyle w:val="Fuzeile"/>
          <w:framePr w:wrap="none" w:vAnchor="text" w:hAnchor="margin" w:xAlign="right" w:y="1"/>
          <w:rPr>
            <w:rStyle w:val="Seitenzahl"/>
            <w:rFonts w:ascii="Times New Roman" w:hAnsi="Times New Roman" w:cs="Times New Roman"/>
            <w:sz w:val="20"/>
            <w:szCs w:val="20"/>
          </w:rPr>
        </w:pPr>
        <w:r w:rsidRPr="005F37E1">
          <w:rPr>
            <w:rStyle w:val="Seitenzahl"/>
            <w:rFonts w:ascii="Times New Roman" w:hAnsi="Times New Roman" w:cs="Times New Roman"/>
            <w:sz w:val="20"/>
            <w:szCs w:val="20"/>
          </w:rPr>
          <w:fldChar w:fldCharType="begin"/>
        </w:r>
        <w:r w:rsidRPr="005F37E1">
          <w:rPr>
            <w:rStyle w:val="Seitenzahl"/>
            <w:rFonts w:ascii="Times New Roman" w:hAnsi="Times New Roman" w:cs="Times New Roman"/>
            <w:sz w:val="20"/>
            <w:szCs w:val="20"/>
          </w:rPr>
          <w:instrText xml:space="preserve"> PAGE </w:instrText>
        </w:r>
        <w:r w:rsidRPr="005F37E1">
          <w:rPr>
            <w:rStyle w:val="Seitenzahl"/>
            <w:rFonts w:ascii="Times New Roman" w:hAnsi="Times New Roman" w:cs="Times New Roman"/>
            <w:sz w:val="20"/>
            <w:szCs w:val="20"/>
          </w:rPr>
          <w:fldChar w:fldCharType="separate"/>
        </w:r>
        <w:r w:rsidRPr="005F37E1">
          <w:rPr>
            <w:rStyle w:val="Seitenzahl"/>
            <w:rFonts w:ascii="Times New Roman" w:hAnsi="Times New Roman" w:cs="Times New Roman"/>
            <w:noProof/>
            <w:sz w:val="20"/>
            <w:szCs w:val="20"/>
          </w:rPr>
          <w:t>2</w:t>
        </w:r>
        <w:r w:rsidRPr="005F37E1">
          <w:rPr>
            <w:rStyle w:val="Seitenzahl"/>
            <w:rFonts w:ascii="Times New Roman" w:hAnsi="Times New Roman" w:cs="Times New Roman"/>
            <w:sz w:val="20"/>
            <w:szCs w:val="20"/>
          </w:rPr>
          <w:fldChar w:fldCharType="end"/>
        </w:r>
      </w:p>
    </w:sdtContent>
  </w:sdt>
  <w:p w14:paraId="4DE841B7" w14:textId="77777777" w:rsidR="00E71525" w:rsidRDefault="00E71525" w:rsidP="005F37E1">
    <w:pPr>
      <w:pStyle w:val="Fuzeile"/>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525"/>
    <w:rsid w:val="00384891"/>
    <w:rsid w:val="006A4369"/>
    <w:rsid w:val="0076272F"/>
    <w:rsid w:val="00881215"/>
    <w:rsid w:val="008B2714"/>
    <w:rsid w:val="00937C30"/>
    <w:rsid w:val="009D5B0D"/>
    <w:rsid w:val="00C9517E"/>
    <w:rsid w:val="00E71525"/>
    <w:rsid w:val="00F0333E"/>
    <w:rsid w:val="00FE40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9BCE289"/>
  <w15:chartTrackingRefBased/>
  <w15:docId w15:val="{25D84A4C-128E-8546-BBFF-5D8799D43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71525"/>
    <w:pPr>
      <w:spacing w:line="480" w:lineRule="auto"/>
      <w:jc w:val="both"/>
    </w:pPr>
    <w:rPr>
      <w:rFonts w:ascii="Arial" w:hAnsi="Arial" w:cs="Arial"/>
      <w:sz w:val="22"/>
      <w:szCs w:val="22"/>
    </w:rPr>
  </w:style>
  <w:style w:type="paragraph" w:styleId="berschrift1">
    <w:name w:val="heading 1"/>
    <w:basedOn w:val="Standard"/>
    <w:next w:val="Standard"/>
    <w:link w:val="berschrift1Zchn"/>
    <w:uiPriority w:val="9"/>
    <w:qFormat/>
    <w:rsid w:val="00E71525"/>
    <w:pPr>
      <w:keepNext/>
      <w:keepLines/>
      <w:spacing w:before="360" w:after="80" w:line="240" w:lineRule="auto"/>
      <w:jc w:val="left"/>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E71525"/>
    <w:pPr>
      <w:keepNext/>
      <w:keepLines/>
      <w:spacing w:before="160" w:after="80" w:line="240" w:lineRule="auto"/>
      <w:jc w:val="left"/>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E71525"/>
    <w:pPr>
      <w:keepNext/>
      <w:keepLines/>
      <w:spacing w:before="160" w:after="80" w:line="240" w:lineRule="auto"/>
      <w:jc w:val="left"/>
      <w:outlineLvl w:val="2"/>
    </w:pPr>
    <w:rPr>
      <w:rFonts w:asciiTheme="minorHAnsi" w:eastAsiaTheme="majorEastAsia" w:hAnsiTheme="minorHAnsi"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E71525"/>
    <w:pPr>
      <w:keepNext/>
      <w:keepLines/>
      <w:spacing w:before="80" w:after="40" w:line="240" w:lineRule="auto"/>
      <w:jc w:val="left"/>
      <w:outlineLvl w:val="3"/>
    </w:pPr>
    <w:rPr>
      <w:rFonts w:asciiTheme="minorHAnsi" w:eastAsiaTheme="majorEastAsia" w:hAnsiTheme="minorHAnsi" w:cstheme="majorBidi"/>
      <w:i/>
      <w:iCs/>
      <w:color w:val="0F4761" w:themeColor="accent1" w:themeShade="BF"/>
      <w:sz w:val="24"/>
      <w:szCs w:val="24"/>
    </w:rPr>
  </w:style>
  <w:style w:type="paragraph" w:styleId="berschrift5">
    <w:name w:val="heading 5"/>
    <w:basedOn w:val="Standard"/>
    <w:next w:val="Standard"/>
    <w:link w:val="berschrift5Zchn"/>
    <w:uiPriority w:val="9"/>
    <w:semiHidden/>
    <w:unhideWhenUsed/>
    <w:qFormat/>
    <w:rsid w:val="00E71525"/>
    <w:pPr>
      <w:keepNext/>
      <w:keepLines/>
      <w:spacing w:before="80" w:after="40" w:line="240" w:lineRule="auto"/>
      <w:jc w:val="left"/>
      <w:outlineLvl w:val="4"/>
    </w:pPr>
    <w:rPr>
      <w:rFonts w:asciiTheme="minorHAnsi" w:eastAsiaTheme="majorEastAsia" w:hAnsiTheme="minorHAnsi" w:cstheme="majorBidi"/>
      <w:color w:val="0F4761" w:themeColor="accent1" w:themeShade="BF"/>
      <w:sz w:val="24"/>
      <w:szCs w:val="24"/>
    </w:rPr>
  </w:style>
  <w:style w:type="paragraph" w:styleId="berschrift6">
    <w:name w:val="heading 6"/>
    <w:basedOn w:val="Standard"/>
    <w:next w:val="Standard"/>
    <w:link w:val="berschrift6Zchn"/>
    <w:uiPriority w:val="9"/>
    <w:semiHidden/>
    <w:unhideWhenUsed/>
    <w:qFormat/>
    <w:rsid w:val="00E71525"/>
    <w:pPr>
      <w:keepNext/>
      <w:keepLines/>
      <w:spacing w:before="40" w:line="240" w:lineRule="auto"/>
      <w:jc w:val="left"/>
      <w:outlineLvl w:val="5"/>
    </w:pPr>
    <w:rPr>
      <w:rFonts w:asciiTheme="minorHAnsi" w:eastAsiaTheme="majorEastAsia" w:hAnsiTheme="minorHAnsi" w:cstheme="majorBidi"/>
      <w:i/>
      <w:iCs/>
      <w:color w:val="595959" w:themeColor="text1" w:themeTint="A6"/>
      <w:sz w:val="24"/>
      <w:szCs w:val="24"/>
    </w:rPr>
  </w:style>
  <w:style w:type="paragraph" w:styleId="berschrift7">
    <w:name w:val="heading 7"/>
    <w:basedOn w:val="Standard"/>
    <w:next w:val="Standard"/>
    <w:link w:val="berschrift7Zchn"/>
    <w:uiPriority w:val="9"/>
    <w:semiHidden/>
    <w:unhideWhenUsed/>
    <w:qFormat/>
    <w:rsid w:val="00E71525"/>
    <w:pPr>
      <w:keepNext/>
      <w:keepLines/>
      <w:spacing w:before="40" w:line="240" w:lineRule="auto"/>
      <w:jc w:val="left"/>
      <w:outlineLvl w:val="6"/>
    </w:pPr>
    <w:rPr>
      <w:rFonts w:asciiTheme="minorHAnsi" w:eastAsiaTheme="majorEastAsia" w:hAnsiTheme="minorHAnsi" w:cstheme="majorBidi"/>
      <w:color w:val="595959" w:themeColor="text1" w:themeTint="A6"/>
      <w:sz w:val="24"/>
      <w:szCs w:val="24"/>
    </w:rPr>
  </w:style>
  <w:style w:type="paragraph" w:styleId="berschrift8">
    <w:name w:val="heading 8"/>
    <w:basedOn w:val="Standard"/>
    <w:next w:val="Standard"/>
    <w:link w:val="berschrift8Zchn"/>
    <w:uiPriority w:val="9"/>
    <w:semiHidden/>
    <w:unhideWhenUsed/>
    <w:qFormat/>
    <w:rsid w:val="00E71525"/>
    <w:pPr>
      <w:keepNext/>
      <w:keepLines/>
      <w:spacing w:line="240" w:lineRule="auto"/>
      <w:jc w:val="left"/>
      <w:outlineLvl w:val="7"/>
    </w:pPr>
    <w:rPr>
      <w:rFonts w:asciiTheme="minorHAnsi" w:eastAsiaTheme="majorEastAsia" w:hAnsiTheme="minorHAnsi" w:cstheme="majorBidi"/>
      <w:i/>
      <w:iCs/>
      <w:color w:val="272727" w:themeColor="text1" w:themeTint="D8"/>
      <w:sz w:val="24"/>
      <w:szCs w:val="24"/>
    </w:rPr>
  </w:style>
  <w:style w:type="paragraph" w:styleId="berschrift9">
    <w:name w:val="heading 9"/>
    <w:basedOn w:val="Standard"/>
    <w:next w:val="Standard"/>
    <w:link w:val="berschrift9Zchn"/>
    <w:uiPriority w:val="9"/>
    <w:semiHidden/>
    <w:unhideWhenUsed/>
    <w:qFormat/>
    <w:rsid w:val="00E71525"/>
    <w:pPr>
      <w:keepNext/>
      <w:keepLines/>
      <w:spacing w:line="240" w:lineRule="auto"/>
      <w:jc w:val="left"/>
      <w:outlineLvl w:val="8"/>
    </w:pPr>
    <w:rPr>
      <w:rFonts w:asciiTheme="minorHAnsi" w:eastAsiaTheme="majorEastAsia" w:hAnsiTheme="minorHAnsi" w:cstheme="majorBidi"/>
      <w:color w:val="272727" w:themeColor="text1" w:themeTint="D8"/>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71525"/>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E71525"/>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E71525"/>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E71525"/>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E71525"/>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E71525"/>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71525"/>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71525"/>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71525"/>
    <w:rPr>
      <w:rFonts w:eastAsiaTheme="majorEastAsia" w:cstheme="majorBidi"/>
      <w:color w:val="272727" w:themeColor="text1" w:themeTint="D8"/>
    </w:rPr>
  </w:style>
  <w:style w:type="paragraph" w:styleId="Titel">
    <w:name w:val="Title"/>
    <w:basedOn w:val="Standard"/>
    <w:next w:val="Standard"/>
    <w:link w:val="TitelZchn"/>
    <w:uiPriority w:val="10"/>
    <w:qFormat/>
    <w:rsid w:val="00E71525"/>
    <w:pPr>
      <w:spacing w:after="80" w:line="240" w:lineRule="auto"/>
      <w:contextualSpacing/>
      <w:jc w:val="left"/>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71525"/>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71525"/>
    <w:pPr>
      <w:numPr>
        <w:ilvl w:val="1"/>
      </w:numPr>
      <w:spacing w:after="160" w:line="240" w:lineRule="auto"/>
      <w:jc w:val="left"/>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E71525"/>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71525"/>
    <w:pPr>
      <w:spacing w:before="160" w:after="160" w:line="240" w:lineRule="auto"/>
      <w:jc w:val="center"/>
    </w:pPr>
    <w:rPr>
      <w:rFonts w:asciiTheme="minorHAnsi" w:hAnsiTheme="minorHAnsi" w:cstheme="minorBidi"/>
      <w:i/>
      <w:iCs/>
      <w:color w:val="404040" w:themeColor="text1" w:themeTint="BF"/>
      <w:sz w:val="24"/>
      <w:szCs w:val="24"/>
    </w:rPr>
  </w:style>
  <w:style w:type="character" w:customStyle="1" w:styleId="ZitatZchn">
    <w:name w:val="Zitat Zchn"/>
    <w:basedOn w:val="Absatz-Standardschriftart"/>
    <w:link w:val="Zitat"/>
    <w:uiPriority w:val="29"/>
    <w:rsid w:val="00E71525"/>
    <w:rPr>
      <w:i/>
      <w:iCs/>
      <w:color w:val="404040" w:themeColor="text1" w:themeTint="BF"/>
    </w:rPr>
  </w:style>
  <w:style w:type="paragraph" w:styleId="Listenabsatz">
    <w:name w:val="List Paragraph"/>
    <w:basedOn w:val="Standard"/>
    <w:uiPriority w:val="34"/>
    <w:qFormat/>
    <w:rsid w:val="00E71525"/>
    <w:pPr>
      <w:spacing w:line="240" w:lineRule="auto"/>
      <w:ind w:left="720"/>
      <w:contextualSpacing/>
      <w:jc w:val="left"/>
    </w:pPr>
    <w:rPr>
      <w:rFonts w:asciiTheme="minorHAnsi" w:hAnsiTheme="minorHAnsi" w:cstheme="minorBidi"/>
      <w:sz w:val="24"/>
      <w:szCs w:val="24"/>
    </w:rPr>
  </w:style>
  <w:style w:type="character" w:styleId="IntensiveHervorhebung">
    <w:name w:val="Intense Emphasis"/>
    <w:basedOn w:val="Absatz-Standardschriftart"/>
    <w:uiPriority w:val="21"/>
    <w:qFormat/>
    <w:rsid w:val="00E71525"/>
    <w:rPr>
      <w:i/>
      <w:iCs/>
      <w:color w:val="0F4761" w:themeColor="accent1" w:themeShade="BF"/>
    </w:rPr>
  </w:style>
  <w:style w:type="paragraph" w:styleId="IntensivesZitat">
    <w:name w:val="Intense Quote"/>
    <w:basedOn w:val="Standard"/>
    <w:next w:val="Standard"/>
    <w:link w:val="IntensivesZitatZchn"/>
    <w:uiPriority w:val="30"/>
    <w:qFormat/>
    <w:rsid w:val="00E71525"/>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asciiTheme="minorHAnsi" w:hAnsiTheme="minorHAnsi" w:cstheme="minorBidi"/>
      <w:i/>
      <w:iCs/>
      <w:color w:val="0F4761" w:themeColor="accent1" w:themeShade="BF"/>
      <w:sz w:val="24"/>
      <w:szCs w:val="24"/>
    </w:rPr>
  </w:style>
  <w:style w:type="character" w:customStyle="1" w:styleId="IntensivesZitatZchn">
    <w:name w:val="Intensives Zitat Zchn"/>
    <w:basedOn w:val="Absatz-Standardschriftart"/>
    <w:link w:val="IntensivesZitat"/>
    <w:uiPriority w:val="30"/>
    <w:rsid w:val="00E71525"/>
    <w:rPr>
      <w:i/>
      <w:iCs/>
      <w:color w:val="0F4761" w:themeColor="accent1" w:themeShade="BF"/>
    </w:rPr>
  </w:style>
  <w:style w:type="character" w:styleId="IntensiverVerweis">
    <w:name w:val="Intense Reference"/>
    <w:basedOn w:val="Absatz-Standardschriftart"/>
    <w:uiPriority w:val="32"/>
    <w:qFormat/>
    <w:rsid w:val="00E71525"/>
    <w:rPr>
      <w:b/>
      <w:bCs/>
      <w:smallCaps/>
      <w:color w:val="0F4761" w:themeColor="accent1" w:themeShade="BF"/>
      <w:spacing w:val="5"/>
    </w:rPr>
  </w:style>
  <w:style w:type="character" w:styleId="Fett">
    <w:name w:val="Strong"/>
    <w:basedOn w:val="Absatz-Standardschriftart"/>
    <w:uiPriority w:val="22"/>
    <w:qFormat/>
    <w:rsid w:val="00E71525"/>
    <w:rPr>
      <w:b/>
      <w:bCs/>
    </w:rPr>
  </w:style>
  <w:style w:type="table" w:styleId="EinfacheTabelle4">
    <w:name w:val="Plain Table 4"/>
    <w:basedOn w:val="NormaleTabelle"/>
    <w:uiPriority w:val="44"/>
    <w:rsid w:val="00E7152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uzeile">
    <w:name w:val="footer"/>
    <w:basedOn w:val="Standard"/>
    <w:link w:val="FuzeileZchn"/>
    <w:uiPriority w:val="99"/>
    <w:unhideWhenUsed/>
    <w:rsid w:val="00E7152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E71525"/>
    <w:rPr>
      <w:rFonts w:ascii="Arial" w:hAnsi="Arial" w:cs="Arial"/>
      <w:sz w:val="22"/>
      <w:szCs w:val="22"/>
    </w:rPr>
  </w:style>
  <w:style w:type="character" w:styleId="Seitenzahl">
    <w:name w:val="page number"/>
    <w:basedOn w:val="Absatz-Standardschriftart"/>
    <w:uiPriority w:val="99"/>
    <w:semiHidden/>
    <w:unhideWhenUsed/>
    <w:rsid w:val="00E715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sv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svg"/><Relationship Id="rId12" Type="http://schemas.openxmlformats.org/officeDocument/2006/relationships/image" Target="media/image9.png"/><Relationship Id="rId17" Type="http://schemas.openxmlformats.org/officeDocument/2006/relationships/image" Target="media/image14.sv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svg"/><Relationship Id="rId5" Type="http://schemas.openxmlformats.org/officeDocument/2006/relationships/image" Target="media/image2.svg"/><Relationship Id="rId15" Type="http://schemas.openxmlformats.org/officeDocument/2006/relationships/image" Target="media/image12.svg"/><Relationship Id="rId10" Type="http://schemas.openxmlformats.org/officeDocument/2006/relationships/image" Target="media/image7.png"/><Relationship Id="rId19" Type="http://schemas.openxmlformats.org/officeDocument/2006/relationships/footer" Target="footer2.xml"/><Relationship Id="rId4" Type="http://schemas.openxmlformats.org/officeDocument/2006/relationships/image" Target="media/image1.png"/><Relationship Id="rId9" Type="http://schemas.openxmlformats.org/officeDocument/2006/relationships/image" Target="media/image6.svg"/><Relationship Id="rId14"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935</Words>
  <Characters>5630</Characters>
  <Application>Microsoft Office Word</Application>
  <DocSecurity>0</DocSecurity>
  <Lines>208</Lines>
  <Paragraphs>139</Paragraphs>
  <ScaleCrop>false</ScaleCrop>
  <Company/>
  <LinksUpToDate>false</LinksUpToDate>
  <CharactersWithSpaces>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Rudroff</dc:creator>
  <cp:keywords/>
  <dc:description/>
  <cp:lastModifiedBy>claudia Rudroff</cp:lastModifiedBy>
  <cp:revision>1</cp:revision>
  <dcterms:created xsi:type="dcterms:W3CDTF">2026-05-15T16:42:00Z</dcterms:created>
  <dcterms:modified xsi:type="dcterms:W3CDTF">2026-05-15T16:49:00Z</dcterms:modified>
</cp:coreProperties>
</file>