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ECD38" w14:textId="77777777" w:rsidR="00CC1766" w:rsidRPr="00117C1A" w:rsidRDefault="00CC1766" w:rsidP="00CC1766">
      <w:pPr>
        <w:rPr>
          <w:rFonts w:ascii="Arial" w:hAnsi="Arial"/>
        </w:rPr>
      </w:pPr>
      <w:r w:rsidRPr="00B75080">
        <w:rPr>
          <w:rFonts w:ascii="Arial" w:eastAsia="Calibri" w:hAnsi="Arial"/>
          <w:b/>
          <w:bCs/>
          <w:color w:val="000000"/>
        </w:rPr>
        <w:t>Supplemental</w:t>
      </w:r>
      <w:r w:rsidRPr="00117C1A">
        <w:rPr>
          <w:rFonts w:ascii="Arial" w:eastAsia="Calibri" w:hAnsi="Arial"/>
          <w:color w:val="000000"/>
        </w:rPr>
        <w:t xml:space="preserve"> </w:t>
      </w:r>
      <w:r w:rsidRPr="00B75080">
        <w:rPr>
          <w:rFonts w:ascii="Arial" w:eastAsia="Calibri" w:hAnsi="Arial"/>
          <w:b/>
          <w:bCs/>
          <w:color w:val="000000"/>
        </w:rPr>
        <w:t>Table 1</w:t>
      </w:r>
      <w:r w:rsidRPr="00117C1A">
        <w:rPr>
          <w:rFonts w:ascii="Arial" w:eastAsia="Calibri" w:hAnsi="Arial"/>
          <w:color w:val="000000"/>
        </w:rPr>
        <w:t xml:space="preserve">: Variables and ranges considered in </w:t>
      </w:r>
      <w:r>
        <w:rPr>
          <w:rFonts w:ascii="Arial" w:eastAsia="Calibri" w:hAnsi="Arial"/>
          <w:color w:val="000000"/>
        </w:rPr>
        <w:t xml:space="preserve">the </w:t>
      </w:r>
      <w:r w:rsidRPr="00117C1A">
        <w:rPr>
          <w:rFonts w:ascii="Arial" w:eastAsia="Calibri" w:hAnsi="Arial"/>
          <w:color w:val="000000"/>
        </w:rPr>
        <w:t>sensitivity analyses</w:t>
      </w:r>
      <w:r>
        <w:rPr>
          <w:rFonts w:ascii="Arial" w:eastAsia="Calibri" w:hAnsi="Arial"/>
          <w:color w:val="000000"/>
        </w:rPr>
        <w:t>.</w:t>
      </w:r>
    </w:p>
    <w:tbl>
      <w:tblPr>
        <w:tblW w:w="0" w:type="auto"/>
        <w:tblLayout w:type="fixed"/>
        <w:tblLook w:val="04A0" w:firstRow="1" w:lastRow="0" w:firstColumn="1" w:lastColumn="0" w:noHBand="0" w:noVBand="1"/>
      </w:tblPr>
      <w:tblGrid>
        <w:gridCol w:w="3636"/>
        <w:gridCol w:w="1576"/>
        <w:gridCol w:w="1576"/>
        <w:gridCol w:w="1576"/>
      </w:tblGrid>
      <w:tr w:rsidR="00CC1766" w:rsidRPr="006D648A" w14:paraId="73F31F4B" w14:textId="77777777" w:rsidTr="0076547B">
        <w:trPr>
          <w:trHeight w:val="315"/>
        </w:trPr>
        <w:tc>
          <w:tcPr>
            <w:tcW w:w="3636" w:type="dxa"/>
            <w:tcBorders>
              <w:top w:val="single" w:sz="4" w:space="0" w:color="auto"/>
              <w:bottom w:val="single" w:sz="4" w:space="0" w:color="auto"/>
            </w:tcBorders>
            <w:tcMar>
              <w:left w:w="108" w:type="dxa"/>
              <w:right w:w="108" w:type="dxa"/>
            </w:tcMar>
            <w:vAlign w:val="bottom"/>
          </w:tcPr>
          <w:p w14:paraId="1E53C712" w14:textId="77777777" w:rsidR="00CC1766" w:rsidRPr="006D648A" w:rsidRDefault="00CC1766" w:rsidP="0076547B">
            <w:pPr>
              <w:rPr>
                <w:rFonts w:ascii="Arial" w:hAnsi="Arial"/>
                <w:b/>
                <w:bCs/>
                <w:sz w:val="22"/>
                <w:szCs w:val="22"/>
              </w:rPr>
            </w:pPr>
            <w:r w:rsidRPr="006D648A">
              <w:rPr>
                <w:rFonts w:ascii="Arial" w:eastAsia="Calibri" w:hAnsi="Arial"/>
                <w:b/>
                <w:bCs/>
                <w:color w:val="000000"/>
                <w:sz w:val="22"/>
                <w:szCs w:val="22"/>
              </w:rPr>
              <w:t>Variable</w:t>
            </w:r>
          </w:p>
        </w:tc>
        <w:tc>
          <w:tcPr>
            <w:tcW w:w="1576" w:type="dxa"/>
            <w:tcBorders>
              <w:top w:val="single" w:sz="4" w:space="0" w:color="auto"/>
              <w:bottom w:val="single" w:sz="4" w:space="0" w:color="auto"/>
            </w:tcBorders>
            <w:tcMar>
              <w:left w:w="108" w:type="dxa"/>
              <w:right w:w="108" w:type="dxa"/>
            </w:tcMar>
            <w:vAlign w:val="bottom"/>
          </w:tcPr>
          <w:p w14:paraId="0F08BC55" w14:textId="77777777" w:rsidR="00CC1766" w:rsidRPr="006D648A" w:rsidRDefault="00CC1766" w:rsidP="0076547B">
            <w:pPr>
              <w:jc w:val="center"/>
              <w:rPr>
                <w:rFonts w:ascii="Arial" w:hAnsi="Arial"/>
                <w:b/>
                <w:bCs/>
                <w:sz w:val="22"/>
                <w:szCs w:val="22"/>
              </w:rPr>
            </w:pPr>
            <w:r w:rsidRPr="006D648A">
              <w:rPr>
                <w:rFonts w:ascii="Arial" w:eastAsia="Calibri" w:hAnsi="Arial"/>
                <w:b/>
                <w:bCs/>
                <w:color w:val="000000"/>
                <w:sz w:val="22"/>
                <w:szCs w:val="22"/>
              </w:rPr>
              <w:t>Baseline input</w:t>
            </w:r>
          </w:p>
        </w:tc>
        <w:tc>
          <w:tcPr>
            <w:tcW w:w="1576" w:type="dxa"/>
            <w:tcBorders>
              <w:top w:val="single" w:sz="4" w:space="0" w:color="auto"/>
              <w:bottom w:val="single" w:sz="4" w:space="0" w:color="auto"/>
            </w:tcBorders>
            <w:tcMar>
              <w:left w:w="108" w:type="dxa"/>
              <w:right w:w="108" w:type="dxa"/>
            </w:tcMar>
            <w:vAlign w:val="bottom"/>
          </w:tcPr>
          <w:p w14:paraId="5D2DC498" w14:textId="77777777" w:rsidR="00CC1766" w:rsidRPr="006D648A" w:rsidRDefault="00CC1766" w:rsidP="0076547B">
            <w:pPr>
              <w:jc w:val="center"/>
              <w:rPr>
                <w:rFonts w:ascii="Arial" w:hAnsi="Arial"/>
                <w:b/>
                <w:bCs/>
                <w:sz w:val="22"/>
                <w:szCs w:val="22"/>
              </w:rPr>
            </w:pPr>
            <w:r w:rsidRPr="006D648A">
              <w:rPr>
                <w:rFonts w:ascii="Arial" w:eastAsia="Calibri" w:hAnsi="Arial"/>
                <w:b/>
                <w:bCs/>
                <w:color w:val="000000"/>
                <w:sz w:val="22"/>
                <w:szCs w:val="22"/>
              </w:rPr>
              <w:t>Low</w:t>
            </w:r>
          </w:p>
        </w:tc>
        <w:tc>
          <w:tcPr>
            <w:tcW w:w="1576" w:type="dxa"/>
            <w:tcBorders>
              <w:top w:val="single" w:sz="4" w:space="0" w:color="auto"/>
              <w:bottom w:val="single" w:sz="4" w:space="0" w:color="auto"/>
            </w:tcBorders>
            <w:tcMar>
              <w:left w:w="108" w:type="dxa"/>
              <w:right w:w="108" w:type="dxa"/>
            </w:tcMar>
            <w:vAlign w:val="bottom"/>
          </w:tcPr>
          <w:p w14:paraId="3FDBF281" w14:textId="77777777" w:rsidR="00CC1766" w:rsidRPr="006D648A" w:rsidRDefault="00CC1766" w:rsidP="0076547B">
            <w:pPr>
              <w:jc w:val="center"/>
              <w:rPr>
                <w:rFonts w:ascii="Arial" w:hAnsi="Arial"/>
                <w:b/>
                <w:bCs/>
                <w:sz w:val="22"/>
                <w:szCs w:val="22"/>
              </w:rPr>
            </w:pPr>
            <w:r w:rsidRPr="006D648A">
              <w:rPr>
                <w:rFonts w:ascii="Arial" w:eastAsia="Calibri" w:hAnsi="Arial"/>
                <w:b/>
                <w:bCs/>
                <w:color w:val="000000"/>
                <w:sz w:val="22"/>
                <w:szCs w:val="22"/>
              </w:rPr>
              <w:t>High</w:t>
            </w:r>
          </w:p>
        </w:tc>
      </w:tr>
      <w:tr w:rsidR="00CC1766" w:rsidRPr="006D648A" w14:paraId="23A5A3E5" w14:textId="77777777" w:rsidTr="0076547B">
        <w:trPr>
          <w:trHeight w:val="315"/>
        </w:trPr>
        <w:tc>
          <w:tcPr>
            <w:tcW w:w="3636" w:type="dxa"/>
            <w:tcBorders>
              <w:top w:val="single" w:sz="4" w:space="0" w:color="auto"/>
            </w:tcBorders>
            <w:tcMar>
              <w:left w:w="108" w:type="dxa"/>
              <w:right w:w="108" w:type="dxa"/>
            </w:tcMar>
            <w:vAlign w:val="center"/>
          </w:tcPr>
          <w:p w14:paraId="510477AE" w14:textId="77777777" w:rsidR="00CC1766" w:rsidRPr="006D648A" w:rsidRDefault="00CC1766" w:rsidP="0076547B">
            <w:pPr>
              <w:rPr>
                <w:rFonts w:ascii="Arial" w:hAnsi="Arial"/>
                <w:sz w:val="22"/>
                <w:szCs w:val="22"/>
              </w:rPr>
            </w:pPr>
            <w:r w:rsidRPr="006D648A">
              <w:rPr>
                <w:rFonts w:ascii="Arial" w:eastAsia="Calibri" w:hAnsi="Arial"/>
                <w:color w:val="000000"/>
                <w:sz w:val="22"/>
                <w:szCs w:val="22"/>
              </w:rPr>
              <w:t>Probabilities</w:t>
            </w:r>
          </w:p>
        </w:tc>
        <w:tc>
          <w:tcPr>
            <w:tcW w:w="1576" w:type="dxa"/>
            <w:tcBorders>
              <w:top w:val="single" w:sz="4" w:space="0" w:color="auto"/>
            </w:tcBorders>
            <w:tcMar>
              <w:left w:w="108" w:type="dxa"/>
              <w:right w:w="108" w:type="dxa"/>
            </w:tcMar>
            <w:vAlign w:val="bottom"/>
          </w:tcPr>
          <w:p w14:paraId="33703CBB"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 xml:space="preserve"> </w:t>
            </w:r>
          </w:p>
        </w:tc>
        <w:tc>
          <w:tcPr>
            <w:tcW w:w="1576" w:type="dxa"/>
            <w:tcBorders>
              <w:top w:val="single" w:sz="4" w:space="0" w:color="auto"/>
            </w:tcBorders>
            <w:tcMar>
              <w:left w:w="108" w:type="dxa"/>
              <w:right w:w="108" w:type="dxa"/>
            </w:tcMar>
            <w:vAlign w:val="bottom"/>
          </w:tcPr>
          <w:p w14:paraId="73D6A8B3"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 xml:space="preserve"> </w:t>
            </w:r>
          </w:p>
        </w:tc>
        <w:tc>
          <w:tcPr>
            <w:tcW w:w="1576" w:type="dxa"/>
            <w:tcBorders>
              <w:top w:val="single" w:sz="4" w:space="0" w:color="auto"/>
            </w:tcBorders>
            <w:tcMar>
              <w:left w:w="108" w:type="dxa"/>
              <w:right w:w="108" w:type="dxa"/>
            </w:tcMar>
            <w:vAlign w:val="bottom"/>
          </w:tcPr>
          <w:p w14:paraId="0D12C1E8"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 xml:space="preserve"> </w:t>
            </w:r>
          </w:p>
        </w:tc>
      </w:tr>
      <w:tr w:rsidR="00CC1766" w:rsidRPr="006D648A" w14:paraId="7571EFB4" w14:textId="77777777" w:rsidTr="0076547B">
        <w:trPr>
          <w:trHeight w:val="315"/>
        </w:trPr>
        <w:tc>
          <w:tcPr>
            <w:tcW w:w="3636" w:type="dxa"/>
            <w:tcMar>
              <w:left w:w="108" w:type="dxa"/>
              <w:right w:w="108" w:type="dxa"/>
            </w:tcMar>
            <w:vAlign w:val="center"/>
          </w:tcPr>
          <w:p w14:paraId="248D4E07"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Specimen with dysplasia</w:t>
            </w:r>
          </w:p>
        </w:tc>
        <w:tc>
          <w:tcPr>
            <w:tcW w:w="1576" w:type="dxa"/>
            <w:tcMar>
              <w:left w:w="108" w:type="dxa"/>
              <w:right w:w="108" w:type="dxa"/>
            </w:tcMar>
            <w:vAlign w:val="center"/>
          </w:tcPr>
          <w:p w14:paraId="5BF7211B"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0.41</w:t>
            </w:r>
          </w:p>
        </w:tc>
        <w:tc>
          <w:tcPr>
            <w:tcW w:w="1576" w:type="dxa"/>
            <w:tcMar>
              <w:left w:w="108" w:type="dxa"/>
              <w:right w:w="108" w:type="dxa"/>
            </w:tcMar>
            <w:vAlign w:val="center"/>
          </w:tcPr>
          <w:p w14:paraId="32BDFC59"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0.3</w:t>
            </w:r>
          </w:p>
        </w:tc>
        <w:tc>
          <w:tcPr>
            <w:tcW w:w="1576" w:type="dxa"/>
            <w:tcMar>
              <w:left w:w="108" w:type="dxa"/>
              <w:right w:w="108" w:type="dxa"/>
            </w:tcMar>
            <w:vAlign w:val="center"/>
          </w:tcPr>
          <w:p w14:paraId="3D86BF9E"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0.5</w:t>
            </w:r>
          </w:p>
        </w:tc>
      </w:tr>
      <w:tr w:rsidR="00CC1766" w:rsidRPr="006D648A" w14:paraId="1AC1FFEE" w14:textId="77777777" w:rsidTr="0076547B">
        <w:trPr>
          <w:trHeight w:val="315"/>
        </w:trPr>
        <w:tc>
          <w:tcPr>
            <w:tcW w:w="3636" w:type="dxa"/>
            <w:tcMar>
              <w:left w:w="108" w:type="dxa"/>
              <w:right w:w="108" w:type="dxa"/>
            </w:tcMar>
            <w:vAlign w:val="center"/>
          </w:tcPr>
          <w:p w14:paraId="2F05CE64"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Specimen with lichenoid reaction</w:t>
            </w:r>
          </w:p>
        </w:tc>
        <w:tc>
          <w:tcPr>
            <w:tcW w:w="1576" w:type="dxa"/>
            <w:tcMar>
              <w:left w:w="108" w:type="dxa"/>
              <w:right w:w="108" w:type="dxa"/>
            </w:tcMar>
            <w:vAlign w:val="center"/>
          </w:tcPr>
          <w:p w14:paraId="0CCBB1DD"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0.21</w:t>
            </w:r>
          </w:p>
        </w:tc>
        <w:tc>
          <w:tcPr>
            <w:tcW w:w="1576" w:type="dxa"/>
            <w:tcMar>
              <w:left w:w="108" w:type="dxa"/>
              <w:right w:w="108" w:type="dxa"/>
            </w:tcMar>
            <w:vAlign w:val="center"/>
          </w:tcPr>
          <w:p w14:paraId="7D733576"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0.15</w:t>
            </w:r>
          </w:p>
        </w:tc>
        <w:tc>
          <w:tcPr>
            <w:tcW w:w="1576" w:type="dxa"/>
            <w:tcMar>
              <w:left w:w="108" w:type="dxa"/>
              <w:right w:w="108" w:type="dxa"/>
            </w:tcMar>
            <w:vAlign w:val="center"/>
          </w:tcPr>
          <w:p w14:paraId="47D6E953"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0.25</w:t>
            </w:r>
          </w:p>
        </w:tc>
      </w:tr>
      <w:tr w:rsidR="00CC1766" w:rsidRPr="006D648A" w14:paraId="6753CF02" w14:textId="77777777" w:rsidTr="0076547B">
        <w:trPr>
          <w:trHeight w:val="315"/>
        </w:trPr>
        <w:tc>
          <w:tcPr>
            <w:tcW w:w="3636" w:type="dxa"/>
            <w:tcMar>
              <w:left w:w="108" w:type="dxa"/>
              <w:right w:w="108" w:type="dxa"/>
            </w:tcMar>
            <w:vAlign w:val="center"/>
          </w:tcPr>
          <w:p w14:paraId="1F83FAB8"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Specimen with malignancy</w:t>
            </w:r>
          </w:p>
        </w:tc>
        <w:tc>
          <w:tcPr>
            <w:tcW w:w="1576" w:type="dxa"/>
            <w:tcMar>
              <w:left w:w="108" w:type="dxa"/>
              <w:right w:w="108" w:type="dxa"/>
            </w:tcMar>
            <w:vAlign w:val="center"/>
          </w:tcPr>
          <w:p w14:paraId="25363398"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0.001</w:t>
            </w:r>
          </w:p>
        </w:tc>
        <w:tc>
          <w:tcPr>
            <w:tcW w:w="1576" w:type="dxa"/>
            <w:tcMar>
              <w:left w:w="108" w:type="dxa"/>
              <w:right w:w="108" w:type="dxa"/>
            </w:tcMar>
            <w:vAlign w:val="center"/>
          </w:tcPr>
          <w:p w14:paraId="2B662463"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0.001</w:t>
            </w:r>
          </w:p>
        </w:tc>
        <w:tc>
          <w:tcPr>
            <w:tcW w:w="1576" w:type="dxa"/>
            <w:tcMar>
              <w:left w:w="108" w:type="dxa"/>
              <w:right w:w="108" w:type="dxa"/>
            </w:tcMar>
            <w:vAlign w:val="center"/>
          </w:tcPr>
          <w:p w14:paraId="088EBF76"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0.005</w:t>
            </w:r>
          </w:p>
        </w:tc>
      </w:tr>
      <w:tr w:rsidR="00CC1766" w:rsidRPr="006D648A" w14:paraId="002DFE69" w14:textId="77777777" w:rsidTr="0076547B">
        <w:trPr>
          <w:trHeight w:val="315"/>
        </w:trPr>
        <w:tc>
          <w:tcPr>
            <w:tcW w:w="3636" w:type="dxa"/>
            <w:tcMar>
              <w:left w:w="108" w:type="dxa"/>
              <w:right w:w="108" w:type="dxa"/>
            </w:tcMar>
            <w:vAlign w:val="center"/>
          </w:tcPr>
          <w:p w14:paraId="153961F6"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Specimen with premalignancy</w:t>
            </w:r>
          </w:p>
        </w:tc>
        <w:tc>
          <w:tcPr>
            <w:tcW w:w="1576" w:type="dxa"/>
            <w:tcMar>
              <w:left w:w="108" w:type="dxa"/>
              <w:right w:w="108" w:type="dxa"/>
            </w:tcMar>
            <w:vAlign w:val="center"/>
          </w:tcPr>
          <w:p w14:paraId="556FD2DD"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0.0082</w:t>
            </w:r>
          </w:p>
        </w:tc>
        <w:tc>
          <w:tcPr>
            <w:tcW w:w="1576" w:type="dxa"/>
            <w:tcMar>
              <w:left w:w="108" w:type="dxa"/>
              <w:right w:w="108" w:type="dxa"/>
            </w:tcMar>
            <w:vAlign w:val="center"/>
          </w:tcPr>
          <w:p w14:paraId="3DF9407A"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0.000</w:t>
            </w:r>
          </w:p>
        </w:tc>
        <w:tc>
          <w:tcPr>
            <w:tcW w:w="1576" w:type="dxa"/>
            <w:tcMar>
              <w:left w:w="108" w:type="dxa"/>
              <w:right w:w="108" w:type="dxa"/>
            </w:tcMar>
            <w:vAlign w:val="center"/>
          </w:tcPr>
          <w:p w14:paraId="1E2B5A25"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0.01</w:t>
            </w:r>
          </w:p>
        </w:tc>
      </w:tr>
      <w:tr w:rsidR="00CC1766" w:rsidRPr="006D648A" w14:paraId="3A87729F" w14:textId="77777777" w:rsidTr="0076547B">
        <w:trPr>
          <w:trHeight w:val="315"/>
        </w:trPr>
        <w:tc>
          <w:tcPr>
            <w:tcW w:w="3636" w:type="dxa"/>
            <w:tcMar>
              <w:left w:w="108" w:type="dxa"/>
              <w:right w:w="108" w:type="dxa"/>
            </w:tcMar>
            <w:vAlign w:val="center"/>
          </w:tcPr>
          <w:p w14:paraId="7F85A1C3"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Death, stage I vaginal cancer</w:t>
            </w:r>
          </w:p>
        </w:tc>
        <w:tc>
          <w:tcPr>
            <w:tcW w:w="1576" w:type="dxa"/>
            <w:tcMar>
              <w:left w:w="108" w:type="dxa"/>
              <w:right w:w="108" w:type="dxa"/>
            </w:tcMar>
            <w:vAlign w:val="center"/>
          </w:tcPr>
          <w:p w14:paraId="449BA8B5"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0.31</w:t>
            </w:r>
          </w:p>
        </w:tc>
        <w:tc>
          <w:tcPr>
            <w:tcW w:w="1576" w:type="dxa"/>
            <w:tcMar>
              <w:left w:w="108" w:type="dxa"/>
              <w:right w:w="108" w:type="dxa"/>
            </w:tcMar>
            <w:vAlign w:val="center"/>
          </w:tcPr>
          <w:p w14:paraId="22A3FB27"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0.1</w:t>
            </w:r>
          </w:p>
        </w:tc>
        <w:tc>
          <w:tcPr>
            <w:tcW w:w="1576" w:type="dxa"/>
            <w:tcMar>
              <w:left w:w="108" w:type="dxa"/>
              <w:right w:w="108" w:type="dxa"/>
            </w:tcMar>
            <w:vAlign w:val="center"/>
          </w:tcPr>
          <w:p w14:paraId="07E6C104"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0.4</w:t>
            </w:r>
          </w:p>
        </w:tc>
      </w:tr>
      <w:tr w:rsidR="00CC1766" w:rsidRPr="006D648A" w14:paraId="28E48961" w14:textId="77777777" w:rsidTr="0076547B">
        <w:trPr>
          <w:trHeight w:val="315"/>
        </w:trPr>
        <w:tc>
          <w:tcPr>
            <w:tcW w:w="3636" w:type="dxa"/>
            <w:tcMar>
              <w:left w:w="108" w:type="dxa"/>
              <w:right w:w="108" w:type="dxa"/>
            </w:tcMar>
            <w:vAlign w:val="center"/>
          </w:tcPr>
          <w:p w14:paraId="79451221"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Death, stage II vaginal cancer</w:t>
            </w:r>
          </w:p>
        </w:tc>
        <w:tc>
          <w:tcPr>
            <w:tcW w:w="1576" w:type="dxa"/>
            <w:tcMar>
              <w:left w:w="108" w:type="dxa"/>
              <w:right w:w="108" w:type="dxa"/>
            </w:tcMar>
            <w:vAlign w:val="center"/>
          </w:tcPr>
          <w:p w14:paraId="69D56A0E"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0.43</w:t>
            </w:r>
          </w:p>
        </w:tc>
        <w:tc>
          <w:tcPr>
            <w:tcW w:w="1576" w:type="dxa"/>
            <w:tcMar>
              <w:left w:w="108" w:type="dxa"/>
              <w:right w:w="108" w:type="dxa"/>
            </w:tcMar>
            <w:vAlign w:val="center"/>
          </w:tcPr>
          <w:p w14:paraId="3B5294D8"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0.3</w:t>
            </w:r>
          </w:p>
        </w:tc>
        <w:tc>
          <w:tcPr>
            <w:tcW w:w="1576" w:type="dxa"/>
            <w:tcMar>
              <w:left w:w="108" w:type="dxa"/>
              <w:right w:w="108" w:type="dxa"/>
            </w:tcMar>
            <w:vAlign w:val="center"/>
          </w:tcPr>
          <w:p w14:paraId="6A2502AD"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0.5</w:t>
            </w:r>
          </w:p>
        </w:tc>
      </w:tr>
      <w:tr w:rsidR="00CC1766" w:rsidRPr="006D648A" w14:paraId="7D5EA929" w14:textId="77777777" w:rsidTr="0076547B">
        <w:trPr>
          <w:trHeight w:val="315"/>
        </w:trPr>
        <w:tc>
          <w:tcPr>
            <w:tcW w:w="3636" w:type="dxa"/>
            <w:tcMar>
              <w:left w:w="108" w:type="dxa"/>
              <w:right w:w="108" w:type="dxa"/>
            </w:tcMar>
            <w:vAlign w:val="center"/>
          </w:tcPr>
          <w:p w14:paraId="6277229B"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Specimen with VaIN I</w:t>
            </w:r>
          </w:p>
        </w:tc>
        <w:tc>
          <w:tcPr>
            <w:tcW w:w="1576" w:type="dxa"/>
            <w:tcMar>
              <w:left w:w="108" w:type="dxa"/>
              <w:right w:w="108" w:type="dxa"/>
            </w:tcMar>
            <w:vAlign w:val="center"/>
          </w:tcPr>
          <w:p w14:paraId="0F778262"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0.61</w:t>
            </w:r>
          </w:p>
        </w:tc>
        <w:tc>
          <w:tcPr>
            <w:tcW w:w="1576" w:type="dxa"/>
            <w:tcMar>
              <w:left w:w="108" w:type="dxa"/>
              <w:right w:w="108" w:type="dxa"/>
            </w:tcMar>
            <w:vAlign w:val="center"/>
          </w:tcPr>
          <w:p w14:paraId="76D1968E"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0.5</w:t>
            </w:r>
          </w:p>
        </w:tc>
        <w:tc>
          <w:tcPr>
            <w:tcW w:w="1576" w:type="dxa"/>
            <w:tcMar>
              <w:left w:w="108" w:type="dxa"/>
              <w:right w:w="108" w:type="dxa"/>
            </w:tcMar>
            <w:vAlign w:val="center"/>
          </w:tcPr>
          <w:p w14:paraId="6189C530"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0.7</w:t>
            </w:r>
          </w:p>
        </w:tc>
      </w:tr>
      <w:tr w:rsidR="00CC1766" w:rsidRPr="006D648A" w14:paraId="53465B0C" w14:textId="77777777" w:rsidTr="0076547B">
        <w:trPr>
          <w:trHeight w:val="315"/>
        </w:trPr>
        <w:tc>
          <w:tcPr>
            <w:tcW w:w="3636" w:type="dxa"/>
            <w:tcMar>
              <w:left w:w="108" w:type="dxa"/>
              <w:right w:w="108" w:type="dxa"/>
            </w:tcMar>
            <w:vAlign w:val="center"/>
          </w:tcPr>
          <w:p w14:paraId="338C8B39"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VaIN I normalizes</w:t>
            </w:r>
          </w:p>
        </w:tc>
        <w:tc>
          <w:tcPr>
            <w:tcW w:w="1576" w:type="dxa"/>
            <w:tcMar>
              <w:left w:w="108" w:type="dxa"/>
              <w:right w:w="108" w:type="dxa"/>
            </w:tcMar>
            <w:vAlign w:val="center"/>
          </w:tcPr>
          <w:p w14:paraId="31C5D0F7"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0.886</w:t>
            </w:r>
          </w:p>
        </w:tc>
        <w:tc>
          <w:tcPr>
            <w:tcW w:w="1576" w:type="dxa"/>
            <w:tcMar>
              <w:left w:w="108" w:type="dxa"/>
              <w:right w:w="108" w:type="dxa"/>
            </w:tcMar>
            <w:vAlign w:val="center"/>
          </w:tcPr>
          <w:p w14:paraId="0CEE639C"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0.8</w:t>
            </w:r>
          </w:p>
        </w:tc>
        <w:tc>
          <w:tcPr>
            <w:tcW w:w="1576" w:type="dxa"/>
            <w:tcMar>
              <w:left w:w="108" w:type="dxa"/>
              <w:right w:w="108" w:type="dxa"/>
            </w:tcMar>
            <w:vAlign w:val="center"/>
          </w:tcPr>
          <w:p w14:paraId="306FFCEA"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0.9</w:t>
            </w:r>
          </w:p>
        </w:tc>
      </w:tr>
      <w:tr w:rsidR="00CC1766" w:rsidRPr="006D648A" w14:paraId="292A619D" w14:textId="77777777" w:rsidTr="0076547B">
        <w:trPr>
          <w:trHeight w:val="315"/>
        </w:trPr>
        <w:tc>
          <w:tcPr>
            <w:tcW w:w="3636" w:type="dxa"/>
            <w:tcMar>
              <w:left w:w="108" w:type="dxa"/>
              <w:right w:w="108" w:type="dxa"/>
            </w:tcMar>
            <w:vAlign w:val="center"/>
          </w:tcPr>
          <w:p w14:paraId="4D1FC47C"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VaIN I progresses</w:t>
            </w:r>
          </w:p>
        </w:tc>
        <w:tc>
          <w:tcPr>
            <w:tcW w:w="1576" w:type="dxa"/>
            <w:tcMar>
              <w:left w:w="108" w:type="dxa"/>
              <w:right w:w="108" w:type="dxa"/>
            </w:tcMar>
            <w:vAlign w:val="center"/>
          </w:tcPr>
          <w:p w14:paraId="56C19CD1"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0.035</w:t>
            </w:r>
          </w:p>
        </w:tc>
        <w:tc>
          <w:tcPr>
            <w:tcW w:w="1576" w:type="dxa"/>
            <w:tcMar>
              <w:left w:w="108" w:type="dxa"/>
              <w:right w:w="108" w:type="dxa"/>
            </w:tcMar>
            <w:vAlign w:val="center"/>
          </w:tcPr>
          <w:p w14:paraId="5CA9DA9C"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0.03</w:t>
            </w:r>
          </w:p>
        </w:tc>
        <w:tc>
          <w:tcPr>
            <w:tcW w:w="1576" w:type="dxa"/>
            <w:tcMar>
              <w:left w:w="108" w:type="dxa"/>
              <w:right w:w="108" w:type="dxa"/>
            </w:tcMar>
            <w:vAlign w:val="center"/>
          </w:tcPr>
          <w:p w14:paraId="7B3486F5"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0.04</w:t>
            </w:r>
          </w:p>
        </w:tc>
      </w:tr>
      <w:tr w:rsidR="00CC1766" w:rsidRPr="006D648A" w14:paraId="4E68DEEE" w14:textId="77777777" w:rsidTr="0076547B">
        <w:trPr>
          <w:trHeight w:val="315"/>
        </w:trPr>
        <w:tc>
          <w:tcPr>
            <w:tcW w:w="3636" w:type="dxa"/>
            <w:tcMar>
              <w:left w:w="108" w:type="dxa"/>
              <w:right w:w="108" w:type="dxa"/>
            </w:tcMar>
            <w:vAlign w:val="center"/>
          </w:tcPr>
          <w:p w14:paraId="59EF7A35"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Specimen with VaIN II</w:t>
            </w:r>
          </w:p>
        </w:tc>
        <w:tc>
          <w:tcPr>
            <w:tcW w:w="1576" w:type="dxa"/>
            <w:tcMar>
              <w:left w:w="108" w:type="dxa"/>
              <w:right w:w="108" w:type="dxa"/>
            </w:tcMar>
            <w:vAlign w:val="center"/>
          </w:tcPr>
          <w:p w14:paraId="5330299B"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0.2158</w:t>
            </w:r>
          </w:p>
        </w:tc>
        <w:tc>
          <w:tcPr>
            <w:tcW w:w="1576" w:type="dxa"/>
            <w:tcMar>
              <w:left w:w="108" w:type="dxa"/>
              <w:right w:w="108" w:type="dxa"/>
            </w:tcMar>
            <w:vAlign w:val="center"/>
          </w:tcPr>
          <w:p w14:paraId="79B8FDCA"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0.15</w:t>
            </w:r>
          </w:p>
        </w:tc>
        <w:tc>
          <w:tcPr>
            <w:tcW w:w="1576" w:type="dxa"/>
            <w:tcMar>
              <w:left w:w="108" w:type="dxa"/>
              <w:right w:w="108" w:type="dxa"/>
            </w:tcMar>
            <w:vAlign w:val="center"/>
          </w:tcPr>
          <w:p w14:paraId="48ED3075"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0.25</w:t>
            </w:r>
          </w:p>
        </w:tc>
      </w:tr>
      <w:tr w:rsidR="00CC1766" w:rsidRPr="006D648A" w14:paraId="41CB38D5" w14:textId="77777777" w:rsidTr="0076547B">
        <w:trPr>
          <w:trHeight w:val="315"/>
        </w:trPr>
        <w:tc>
          <w:tcPr>
            <w:tcW w:w="3636" w:type="dxa"/>
            <w:tcMar>
              <w:left w:w="108" w:type="dxa"/>
              <w:right w:w="108" w:type="dxa"/>
            </w:tcMar>
            <w:vAlign w:val="center"/>
          </w:tcPr>
          <w:p w14:paraId="283D35EA"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VaIN II normalizes</w:t>
            </w:r>
          </w:p>
        </w:tc>
        <w:tc>
          <w:tcPr>
            <w:tcW w:w="1576" w:type="dxa"/>
            <w:tcMar>
              <w:left w:w="108" w:type="dxa"/>
              <w:right w:w="108" w:type="dxa"/>
            </w:tcMar>
            <w:vAlign w:val="center"/>
          </w:tcPr>
          <w:p w14:paraId="4F4A2999"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0.8</w:t>
            </w:r>
          </w:p>
        </w:tc>
        <w:tc>
          <w:tcPr>
            <w:tcW w:w="1576" w:type="dxa"/>
            <w:tcMar>
              <w:left w:w="108" w:type="dxa"/>
              <w:right w:w="108" w:type="dxa"/>
            </w:tcMar>
            <w:vAlign w:val="center"/>
          </w:tcPr>
          <w:p w14:paraId="6B2AB962"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0.75</w:t>
            </w:r>
          </w:p>
        </w:tc>
        <w:tc>
          <w:tcPr>
            <w:tcW w:w="1576" w:type="dxa"/>
            <w:tcMar>
              <w:left w:w="108" w:type="dxa"/>
              <w:right w:w="108" w:type="dxa"/>
            </w:tcMar>
            <w:vAlign w:val="center"/>
          </w:tcPr>
          <w:p w14:paraId="6116C688"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0.85</w:t>
            </w:r>
          </w:p>
        </w:tc>
      </w:tr>
      <w:tr w:rsidR="00CC1766" w:rsidRPr="006D648A" w14:paraId="53A3C4F1" w14:textId="77777777" w:rsidTr="0076547B">
        <w:trPr>
          <w:trHeight w:val="315"/>
        </w:trPr>
        <w:tc>
          <w:tcPr>
            <w:tcW w:w="3636" w:type="dxa"/>
            <w:tcMar>
              <w:left w:w="108" w:type="dxa"/>
              <w:right w:w="108" w:type="dxa"/>
            </w:tcMar>
            <w:vAlign w:val="center"/>
          </w:tcPr>
          <w:p w14:paraId="2C500CA9"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VaIN II progresses</w:t>
            </w:r>
          </w:p>
        </w:tc>
        <w:tc>
          <w:tcPr>
            <w:tcW w:w="1576" w:type="dxa"/>
            <w:tcMar>
              <w:left w:w="108" w:type="dxa"/>
              <w:right w:w="108" w:type="dxa"/>
            </w:tcMar>
            <w:vAlign w:val="center"/>
          </w:tcPr>
          <w:p w14:paraId="16027B99"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0.029</w:t>
            </w:r>
          </w:p>
        </w:tc>
        <w:tc>
          <w:tcPr>
            <w:tcW w:w="1576" w:type="dxa"/>
            <w:tcMar>
              <w:left w:w="108" w:type="dxa"/>
              <w:right w:w="108" w:type="dxa"/>
            </w:tcMar>
            <w:vAlign w:val="center"/>
          </w:tcPr>
          <w:p w14:paraId="784C6C01"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0.009</w:t>
            </w:r>
          </w:p>
        </w:tc>
        <w:tc>
          <w:tcPr>
            <w:tcW w:w="1576" w:type="dxa"/>
            <w:tcMar>
              <w:left w:w="108" w:type="dxa"/>
              <w:right w:w="108" w:type="dxa"/>
            </w:tcMar>
            <w:vAlign w:val="center"/>
          </w:tcPr>
          <w:p w14:paraId="26D850E2"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0.04</w:t>
            </w:r>
          </w:p>
        </w:tc>
      </w:tr>
      <w:tr w:rsidR="00CC1766" w:rsidRPr="006D648A" w14:paraId="59A496DC" w14:textId="77777777" w:rsidTr="0076547B">
        <w:trPr>
          <w:trHeight w:val="315"/>
        </w:trPr>
        <w:tc>
          <w:tcPr>
            <w:tcW w:w="3636" w:type="dxa"/>
            <w:tcMar>
              <w:left w:w="108" w:type="dxa"/>
              <w:right w:w="108" w:type="dxa"/>
            </w:tcMar>
            <w:vAlign w:val="center"/>
          </w:tcPr>
          <w:p w14:paraId="4CC73F65"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VaIN III normalizes</w:t>
            </w:r>
          </w:p>
        </w:tc>
        <w:tc>
          <w:tcPr>
            <w:tcW w:w="1576" w:type="dxa"/>
            <w:tcMar>
              <w:left w:w="108" w:type="dxa"/>
              <w:right w:w="108" w:type="dxa"/>
            </w:tcMar>
            <w:vAlign w:val="center"/>
          </w:tcPr>
          <w:p w14:paraId="12D7EA79"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0.833</w:t>
            </w:r>
          </w:p>
        </w:tc>
        <w:tc>
          <w:tcPr>
            <w:tcW w:w="1576" w:type="dxa"/>
            <w:tcMar>
              <w:left w:w="108" w:type="dxa"/>
              <w:right w:w="108" w:type="dxa"/>
            </w:tcMar>
            <w:vAlign w:val="center"/>
          </w:tcPr>
          <w:p w14:paraId="004AE333"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0.8</w:t>
            </w:r>
          </w:p>
        </w:tc>
        <w:tc>
          <w:tcPr>
            <w:tcW w:w="1576" w:type="dxa"/>
            <w:tcMar>
              <w:left w:w="108" w:type="dxa"/>
              <w:right w:w="108" w:type="dxa"/>
            </w:tcMar>
            <w:vAlign w:val="center"/>
          </w:tcPr>
          <w:p w14:paraId="53FADAB1"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0.85</w:t>
            </w:r>
          </w:p>
        </w:tc>
      </w:tr>
      <w:tr w:rsidR="00CC1766" w:rsidRPr="006D648A" w14:paraId="784DAE48" w14:textId="77777777" w:rsidTr="0076547B">
        <w:trPr>
          <w:trHeight w:val="315"/>
        </w:trPr>
        <w:tc>
          <w:tcPr>
            <w:tcW w:w="3636" w:type="dxa"/>
            <w:tcMar>
              <w:left w:w="108" w:type="dxa"/>
              <w:right w:w="108" w:type="dxa"/>
            </w:tcMar>
            <w:vAlign w:val="center"/>
          </w:tcPr>
          <w:p w14:paraId="1A3C66FE"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VaIN III progresses</w:t>
            </w:r>
          </w:p>
        </w:tc>
        <w:tc>
          <w:tcPr>
            <w:tcW w:w="1576" w:type="dxa"/>
            <w:tcMar>
              <w:left w:w="108" w:type="dxa"/>
              <w:right w:w="108" w:type="dxa"/>
            </w:tcMar>
            <w:vAlign w:val="center"/>
          </w:tcPr>
          <w:p w14:paraId="1A47D56C"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0.026</w:t>
            </w:r>
          </w:p>
        </w:tc>
        <w:tc>
          <w:tcPr>
            <w:tcW w:w="1576" w:type="dxa"/>
            <w:tcMar>
              <w:left w:w="108" w:type="dxa"/>
              <w:right w:w="108" w:type="dxa"/>
            </w:tcMar>
            <w:vAlign w:val="center"/>
          </w:tcPr>
          <w:p w14:paraId="50D35E16"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0.01</w:t>
            </w:r>
          </w:p>
        </w:tc>
        <w:tc>
          <w:tcPr>
            <w:tcW w:w="1576" w:type="dxa"/>
            <w:tcMar>
              <w:left w:w="108" w:type="dxa"/>
              <w:right w:w="108" w:type="dxa"/>
            </w:tcMar>
            <w:vAlign w:val="center"/>
          </w:tcPr>
          <w:p w14:paraId="57CD4144"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0.035</w:t>
            </w:r>
          </w:p>
        </w:tc>
      </w:tr>
      <w:tr w:rsidR="00CC1766" w:rsidRPr="006D648A" w14:paraId="63B7AA44" w14:textId="77777777" w:rsidTr="0076547B">
        <w:trPr>
          <w:trHeight w:val="315"/>
        </w:trPr>
        <w:tc>
          <w:tcPr>
            <w:tcW w:w="3636" w:type="dxa"/>
            <w:tcMar>
              <w:left w:w="108" w:type="dxa"/>
              <w:right w:w="108" w:type="dxa"/>
            </w:tcMar>
            <w:vAlign w:val="center"/>
          </w:tcPr>
          <w:p w14:paraId="57240587" w14:textId="77777777" w:rsidR="00CC1766" w:rsidRPr="006D648A" w:rsidRDefault="00CC1766" w:rsidP="0076547B">
            <w:pPr>
              <w:rPr>
                <w:rFonts w:ascii="Arial" w:hAnsi="Arial"/>
                <w:sz w:val="22"/>
                <w:szCs w:val="22"/>
              </w:rPr>
            </w:pPr>
            <w:r w:rsidRPr="006D648A">
              <w:rPr>
                <w:rFonts w:ascii="Arial" w:eastAsia="Calibri" w:hAnsi="Arial"/>
                <w:color w:val="000000"/>
                <w:sz w:val="22"/>
                <w:szCs w:val="22"/>
              </w:rPr>
              <w:t>Costs*</w:t>
            </w:r>
          </w:p>
        </w:tc>
        <w:tc>
          <w:tcPr>
            <w:tcW w:w="1576" w:type="dxa"/>
            <w:tcMar>
              <w:left w:w="108" w:type="dxa"/>
              <w:right w:w="108" w:type="dxa"/>
            </w:tcMar>
            <w:vAlign w:val="bottom"/>
          </w:tcPr>
          <w:p w14:paraId="1BF4F22C"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 xml:space="preserve"> </w:t>
            </w:r>
          </w:p>
        </w:tc>
        <w:tc>
          <w:tcPr>
            <w:tcW w:w="1576" w:type="dxa"/>
            <w:tcMar>
              <w:left w:w="108" w:type="dxa"/>
              <w:right w:w="108" w:type="dxa"/>
            </w:tcMar>
            <w:vAlign w:val="bottom"/>
          </w:tcPr>
          <w:p w14:paraId="1EFB4B91"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 xml:space="preserve"> </w:t>
            </w:r>
          </w:p>
        </w:tc>
        <w:tc>
          <w:tcPr>
            <w:tcW w:w="1576" w:type="dxa"/>
            <w:tcMar>
              <w:left w:w="108" w:type="dxa"/>
              <w:right w:w="108" w:type="dxa"/>
            </w:tcMar>
            <w:vAlign w:val="bottom"/>
          </w:tcPr>
          <w:p w14:paraId="298EBB64"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 xml:space="preserve"> </w:t>
            </w:r>
          </w:p>
        </w:tc>
      </w:tr>
      <w:tr w:rsidR="00CC1766" w:rsidRPr="006D648A" w14:paraId="0A1B3E68" w14:textId="77777777" w:rsidTr="0076547B">
        <w:trPr>
          <w:trHeight w:val="315"/>
        </w:trPr>
        <w:tc>
          <w:tcPr>
            <w:tcW w:w="3636" w:type="dxa"/>
            <w:tcMar>
              <w:left w:w="108" w:type="dxa"/>
              <w:right w:w="108" w:type="dxa"/>
            </w:tcMar>
            <w:vAlign w:val="center"/>
          </w:tcPr>
          <w:p w14:paraId="180BE2B9"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Observation for lichen sclerosis</w:t>
            </w:r>
          </w:p>
        </w:tc>
        <w:tc>
          <w:tcPr>
            <w:tcW w:w="1576" w:type="dxa"/>
            <w:tcMar>
              <w:left w:w="108" w:type="dxa"/>
              <w:right w:w="108" w:type="dxa"/>
            </w:tcMar>
            <w:vAlign w:val="center"/>
          </w:tcPr>
          <w:p w14:paraId="1B059BE4"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$2,031.00</w:t>
            </w:r>
          </w:p>
        </w:tc>
        <w:tc>
          <w:tcPr>
            <w:tcW w:w="1576" w:type="dxa"/>
            <w:tcMar>
              <w:left w:w="108" w:type="dxa"/>
              <w:right w:w="108" w:type="dxa"/>
            </w:tcMar>
            <w:vAlign w:val="center"/>
          </w:tcPr>
          <w:p w14:paraId="413A34A6"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$1,000.00</w:t>
            </w:r>
          </w:p>
        </w:tc>
        <w:tc>
          <w:tcPr>
            <w:tcW w:w="1576" w:type="dxa"/>
            <w:tcMar>
              <w:left w:w="108" w:type="dxa"/>
              <w:right w:w="108" w:type="dxa"/>
            </w:tcMar>
            <w:vAlign w:val="center"/>
          </w:tcPr>
          <w:p w14:paraId="71028E55"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$3,000.00</w:t>
            </w:r>
          </w:p>
        </w:tc>
      </w:tr>
      <w:tr w:rsidR="00CC1766" w:rsidRPr="006D648A" w14:paraId="0F54E083" w14:textId="77777777" w:rsidTr="0076547B">
        <w:trPr>
          <w:trHeight w:val="315"/>
        </w:trPr>
        <w:tc>
          <w:tcPr>
            <w:tcW w:w="3636" w:type="dxa"/>
            <w:tcMar>
              <w:left w:w="108" w:type="dxa"/>
              <w:right w:w="108" w:type="dxa"/>
            </w:tcMar>
            <w:vAlign w:val="center"/>
          </w:tcPr>
          <w:p w14:paraId="5235C212"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Observation for VaIN</w:t>
            </w:r>
          </w:p>
        </w:tc>
        <w:tc>
          <w:tcPr>
            <w:tcW w:w="1576" w:type="dxa"/>
            <w:tcMar>
              <w:left w:w="108" w:type="dxa"/>
              <w:right w:w="108" w:type="dxa"/>
            </w:tcMar>
            <w:vAlign w:val="center"/>
          </w:tcPr>
          <w:p w14:paraId="7362FF68"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$12,186.00</w:t>
            </w:r>
          </w:p>
        </w:tc>
        <w:tc>
          <w:tcPr>
            <w:tcW w:w="1576" w:type="dxa"/>
            <w:tcMar>
              <w:left w:w="108" w:type="dxa"/>
              <w:right w:w="108" w:type="dxa"/>
            </w:tcMar>
            <w:vAlign w:val="center"/>
          </w:tcPr>
          <w:p w14:paraId="37ED34F0"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$10,000.00</w:t>
            </w:r>
          </w:p>
        </w:tc>
        <w:tc>
          <w:tcPr>
            <w:tcW w:w="1576" w:type="dxa"/>
            <w:tcMar>
              <w:left w:w="108" w:type="dxa"/>
              <w:right w:w="108" w:type="dxa"/>
            </w:tcMar>
            <w:vAlign w:val="center"/>
          </w:tcPr>
          <w:p w14:paraId="2214B448"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$15,000.00</w:t>
            </w:r>
          </w:p>
        </w:tc>
      </w:tr>
      <w:tr w:rsidR="00CC1766" w:rsidRPr="006D648A" w14:paraId="24C1E463" w14:textId="77777777" w:rsidTr="0076547B">
        <w:trPr>
          <w:trHeight w:val="315"/>
        </w:trPr>
        <w:tc>
          <w:tcPr>
            <w:tcW w:w="3636" w:type="dxa"/>
            <w:tcMar>
              <w:left w:w="108" w:type="dxa"/>
              <w:right w:w="108" w:type="dxa"/>
            </w:tcMar>
            <w:vAlign w:val="center"/>
          </w:tcPr>
          <w:p w14:paraId="4635B777"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Topical steroid</w:t>
            </w:r>
          </w:p>
        </w:tc>
        <w:tc>
          <w:tcPr>
            <w:tcW w:w="1576" w:type="dxa"/>
            <w:tcMar>
              <w:left w:w="108" w:type="dxa"/>
              <w:right w:w="108" w:type="dxa"/>
            </w:tcMar>
            <w:vAlign w:val="center"/>
          </w:tcPr>
          <w:p w14:paraId="15CC1AB6"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$180.96</w:t>
            </w:r>
          </w:p>
        </w:tc>
        <w:tc>
          <w:tcPr>
            <w:tcW w:w="1576" w:type="dxa"/>
            <w:tcMar>
              <w:left w:w="108" w:type="dxa"/>
              <w:right w:w="108" w:type="dxa"/>
            </w:tcMar>
            <w:vAlign w:val="center"/>
          </w:tcPr>
          <w:p w14:paraId="522980B9"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$100.00</w:t>
            </w:r>
          </w:p>
        </w:tc>
        <w:tc>
          <w:tcPr>
            <w:tcW w:w="1576" w:type="dxa"/>
            <w:tcMar>
              <w:left w:w="108" w:type="dxa"/>
              <w:right w:w="108" w:type="dxa"/>
            </w:tcMar>
            <w:vAlign w:val="center"/>
          </w:tcPr>
          <w:p w14:paraId="1D3C136C"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$300.00</w:t>
            </w:r>
          </w:p>
        </w:tc>
      </w:tr>
      <w:tr w:rsidR="00CC1766" w:rsidRPr="006D648A" w14:paraId="32CE6531" w14:textId="77777777" w:rsidTr="0076547B">
        <w:trPr>
          <w:trHeight w:val="315"/>
        </w:trPr>
        <w:tc>
          <w:tcPr>
            <w:tcW w:w="3636" w:type="dxa"/>
            <w:tcMar>
              <w:left w:w="108" w:type="dxa"/>
              <w:right w:w="108" w:type="dxa"/>
            </w:tcMar>
            <w:vAlign w:val="center"/>
          </w:tcPr>
          <w:p w14:paraId="3D636EC0"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Laser ablation</w:t>
            </w:r>
          </w:p>
        </w:tc>
        <w:tc>
          <w:tcPr>
            <w:tcW w:w="1576" w:type="dxa"/>
            <w:tcMar>
              <w:left w:w="108" w:type="dxa"/>
              <w:right w:w="108" w:type="dxa"/>
            </w:tcMar>
            <w:vAlign w:val="center"/>
          </w:tcPr>
          <w:p w14:paraId="2A9C8BDA"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$7,040.77</w:t>
            </w:r>
          </w:p>
        </w:tc>
        <w:tc>
          <w:tcPr>
            <w:tcW w:w="1576" w:type="dxa"/>
            <w:tcMar>
              <w:left w:w="108" w:type="dxa"/>
              <w:right w:w="108" w:type="dxa"/>
            </w:tcMar>
            <w:vAlign w:val="center"/>
          </w:tcPr>
          <w:p w14:paraId="52ADE457"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$5,000.00</w:t>
            </w:r>
          </w:p>
        </w:tc>
        <w:tc>
          <w:tcPr>
            <w:tcW w:w="1576" w:type="dxa"/>
            <w:tcMar>
              <w:left w:w="108" w:type="dxa"/>
              <w:right w:w="108" w:type="dxa"/>
            </w:tcMar>
            <w:vAlign w:val="center"/>
          </w:tcPr>
          <w:p w14:paraId="741DB5A5"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$12,000.00</w:t>
            </w:r>
          </w:p>
        </w:tc>
      </w:tr>
      <w:tr w:rsidR="00CC1766" w:rsidRPr="006D648A" w14:paraId="51503D69" w14:textId="77777777" w:rsidTr="0076547B">
        <w:trPr>
          <w:trHeight w:val="315"/>
        </w:trPr>
        <w:tc>
          <w:tcPr>
            <w:tcW w:w="3636" w:type="dxa"/>
            <w:tcMar>
              <w:left w:w="108" w:type="dxa"/>
              <w:right w:w="108" w:type="dxa"/>
            </w:tcMar>
            <w:vAlign w:val="center"/>
          </w:tcPr>
          <w:p w14:paraId="330CD228"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Wide local excision</w:t>
            </w:r>
          </w:p>
        </w:tc>
        <w:tc>
          <w:tcPr>
            <w:tcW w:w="1576" w:type="dxa"/>
            <w:tcMar>
              <w:left w:w="108" w:type="dxa"/>
              <w:right w:w="108" w:type="dxa"/>
            </w:tcMar>
            <w:vAlign w:val="center"/>
          </w:tcPr>
          <w:p w14:paraId="0DE71BB4"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$25,302.00</w:t>
            </w:r>
          </w:p>
        </w:tc>
        <w:tc>
          <w:tcPr>
            <w:tcW w:w="1576" w:type="dxa"/>
            <w:tcMar>
              <w:left w:w="108" w:type="dxa"/>
              <w:right w:w="108" w:type="dxa"/>
            </w:tcMar>
            <w:vAlign w:val="center"/>
          </w:tcPr>
          <w:p w14:paraId="761E93B1"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$20,000.00</w:t>
            </w:r>
          </w:p>
        </w:tc>
        <w:tc>
          <w:tcPr>
            <w:tcW w:w="1576" w:type="dxa"/>
            <w:tcMar>
              <w:left w:w="108" w:type="dxa"/>
              <w:right w:w="108" w:type="dxa"/>
            </w:tcMar>
            <w:vAlign w:val="center"/>
          </w:tcPr>
          <w:p w14:paraId="0E14DC33"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$35,000.00</w:t>
            </w:r>
          </w:p>
        </w:tc>
      </w:tr>
      <w:tr w:rsidR="00CC1766" w:rsidRPr="006D648A" w14:paraId="2D22A62A" w14:textId="77777777" w:rsidTr="0076547B">
        <w:trPr>
          <w:trHeight w:val="315"/>
        </w:trPr>
        <w:tc>
          <w:tcPr>
            <w:tcW w:w="3636" w:type="dxa"/>
            <w:tcMar>
              <w:left w:w="108" w:type="dxa"/>
              <w:right w:w="108" w:type="dxa"/>
            </w:tcMar>
            <w:vAlign w:val="center"/>
          </w:tcPr>
          <w:p w14:paraId="0E50B76B"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Stage I vaginal cancer</w:t>
            </w:r>
          </w:p>
        </w:tc>
        <w:tc>
          <w:tcPr>
            <w:tcW w:w="1576" w:type="dxa"/>
            <w:tcMar>
              <w:left w:w="108" w:type="dxa"/>
              <w:right w:w="108" w:type="dxa"/>
            </w:tcMar>
            <w:vAlign w:val="center"/>
          </w:tcPr>
          <w:p w14:paraId="49994848"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$11,102.77</w:t>
            </w:r>
          </w:p>
        </w:tc>
        <w:tc>
          <w:tcPr>
            <w:tcW w:w="1576" w:type="dxa"/>
            <w:tcMar>
              <w:left w:w="108" w:type="dxa"/>
              <w:right w:w="108" w:type="dxa"/>
            </w:tcMar>
            <w:vAlign w:val="center"/>
          </w:tcPr>
          <w:p w14:paraId="1876C5C7"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$6,000.00</w:t>
            </w:r>
          </w:p>
        </w:tc>
        <w:tc>
          <w:tcPr>
            <w:tcW w:w="1576" w:type="dxa"/>
            <w:tcMar>
              <w:left w:w="108" w:type="dxa"/>
              <w:right w:w="108" w:type="dxa"/>
            </w:tcMar>
            <w:vAlign w:val="center"/>
          </w:tcPr>
          <w:p w14:paraId="1F8E320B"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$16,000.00</w:t>
            </w:r>
          </w:p>
        </w:tc>
      </w:tr>
      <w:tr w:rsidR="00CC1766" w:rsidRPr="006D648A" w14:paraId="050D89B6" w14:textId="77777777" w:rsidTr="0076547B">
        <w:trPr>
          <w:trHeight w:val="315"/>
        </w:trPr>
        <w:tc>
          <w:tcPr>
            <w:tcW w:w="3636" w:type="dxa"/>
            <w:tcMar>
              <w:left w:w="108" w:type="dxa"/>
              <w:right w:w="108" w:type="dxa"/>
            </w:tcMar>
            <w:vAlign w:val="center"/>
          </w:tcPr>
          <w:p w14:paraId="254D6EC1"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Stage II vaginal cancer</w:t>
            </w:r>
          </w:p>
        </w:tc>
        <w:tc>
          <w:tcPr>
            <w:tcW w:w="1576" w:type="dxa"/>
            <w:tcMar>
              <w:left w:w="108" w:type="dxa"/>
              <w:right w:w="108" w:type="dxa"/>
            </w:tcMar>
            <w:vAlign w:val="center"/>
          </w:tcPr>
          <w:p w14:paraId="269E9F42"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$107,175.00</w:t>
            </w:r>
          </w:p>
        </w:tc>
        <w:tc>
          <w:tcPr>
            <w:tcW w:w="1576" w:type="dxa"/>
            <w:tcMar>
              <w:left w:w="108" w:type="dxa"/>
              <w:right w:w="108" w:type="dxa"/>
            </w:tcMar>
            <w:vAlign w:val="center"/>
          </w:tcPr>
          <w:p w14:paraId="2E5062D8"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$75,000.00</w:t>
            </w:r>
          </w:p>
        </w:tc>
        <w:tc>
          <w:tcPr>
            <w:tcW w:w="1576" w:type="dxa"/>
            <w:tcMar>
              <w:left w:w="108" w:type="dxa"/>
              <w:right w:w="108" w:type="dxa"/>
            </w:tcMar>
            <w:vAlign w:val="center"/>
          </w:tcPr>
          <w:p w14:paraId="5CECD754"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$150,000.00</w:t>
            </w:r>
          </w:p>
        </w:tc>
      </w:tr>
      <w:tr w:rsidR="00CC1766" w:rsidRPr="006D648A" w14:paraId="05937634" w14:textId="77777777" w:rsidTr="0076547B">
        <w:trPr>
          <w:trHeight w:val="315"/>
        </w:trPr>
        <w:tc>
          <w:tcPr>
            <w:tcW w:w="3636" w:type="dxa"/>
            <w:tcMar>
              <w:left w:w="108" w:type="dxa"/>
              <w:right w:w="108" w:type="dxa"/>
            </w:tcMar>
            <w:vAlign w:val="center"/>
          </w:tcPr>
          <w:p w14:paraId="7368B693"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Pathologic assessment</w:t>
            </w:r>
          </w:p>
        </w:tc>
        <w:tc>
          <w:tcPr>
            <w:tcW w:w="1576" w:type="dxa"/>
            <w:tcMar>
              <w:left w:w="108" w:type="dxa"/>
              <w:right w:w="108" w:type="dxa"/>
            </w:tcMar>
            <w:vAlign w:val="center"/>
          </w:tcPr>
          <w:p w14:paraId="13310CBB"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$290.00</w:t>
            </w:r>
          </w:p>
        </w:tc>
        <w:tc>
          <w:tcPr>
            <w:tcW w:w="1576" w:type="dxa"/>
            <w:tcMar>
              <w:left w:w="108" w:type="dxa"/>
              <w:right w:w="108" w:type="dxa"/>
            </w:tcMar>
            <w:vAlign w:val="center"/>
          </w:tcPr>
          <w:p w14:paraId="5BC227FD"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$5.00</w:t>
            </w:r>
          </w:p>
        </w:tc>
        <w:tc>
          <w:tcPr>
            <w:tcW w:w="1576" w:type="dxa"/>
            <w:tcMar>
              <w:left w:w="108" w:type="dxa"/>
              <w:right w:w="108" w:type="dxa"/>
            </w:tcMar>
            <w:vAlign w:val="center"/>
          </w:tcPr>
          <w:p w14:paraId="42850EBE"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$700.00</w:t>
            </w:r>
          </w:p>
        </w:tc>
      </w:tr>
      <w:tr w:rsidR="00CC1766" w:rsidRPr="006D648A" w14:paraId="0226DAF4" w14:textId="77777777" w:rsidTr="0076547B">
        <w:trPr>
          <w:trHeight w:val="315"/>
        </w:trPr>
        <w:tc>
          <w:tcPr>
            <w:tcW w:w="3636" w:type="dxa"/>
            <w:tcBorders>
              <w:bottom w:val="single" w:sz="4" w:space="0" w:color="auto"/>
            </w:tcBorders>
            <w:tcMar>
              <w:left w:w="108" w:type="dxa"/>
              <w:right w:w="108" w:type="dxa"/>
            </w:tcMar>
            <w:vAlign w:val="center"/>
          </w:tcPr>
          <w:p w14:paraId="052A60F1" w14:textId="77777777" w:rsidR="00CC1766" w:rsidRPr="006D648A" w:rsidRDefault="00CC1766" w:rsidP="0076547B">
            <w:pPr>
              <w:ind w:left="253"/>
              <w:rPr>
                <w:rFonts w:ascii="Arial" w:hAnsi="Arial"/>
                <w:sz w:val="22"/>
                <w:szCs w:val="22"/>
              </w:rPr>
            </w:pPr>
            <w:r w:rsidRPr="006D648A">
              <w:rPr>
                <w:rFonts w:ascii="Arial" w:eastAsia="Calibri" w:hAnsi="Arial"/>
                <w:color w:val="000000"/>
                <w:sz w:val="22"/>
                <w:szCs w:val="22"/>
              </w:rPr>
              <w:t>Death</w:t>
            </w:r>
          </w:p>
        </w:tc>
        <w:tc>
          <w:tcPr>
            <w:tcW w:w="1576" w:type="dxa"/>
            <w:tcBorders>
              <w:bottom w:val="single" w:sz="4" w:space="0" w:color="auto"/>
            </w:tcBorders>
            <w:tcMar>
              <w:left w:w="108" w:type="dxa"/>
              <w:right w:w="108" w:type="dxa"/>
            </w:tcMar>
            <w:vAlign w:val="center"/>
          </w:tcPr>
          <w:p w14:paraId="45D5ABEE"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$112,491.29</w:t>
            </w:r>
          </w:p>
        </w:tc>
        <w:tc>
          <w:tcPr>
            <w:tcW w:w="1576" w:type="dxa"/>
            <w:tcBorders>
              <w:bottom w:val="single" w:sz="4" w:space="0" w:color="auto"/>
            </w:tcBorders>
            <w:tcMar>
              <w:left w:w="108" w:type="dxa"/>
              <w:right w:w="108" w:type="dxa"/>
            </w:tcMar>
            <w:vAlign w:val="center"/>
          </w:tcPr>
          <w:p w14:paraId="3131B403"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$70,000.00</w:t>
            </w:r>
          </w:p>
        </w:tc>
        <w:tc>
          <w:tcPr>
            <w:tcW w:w="1576" w:type="dxa"/>
            <w:tcBorders>
              <w:bottom w:val="single" w:sz="4" w:space="0" w:color="auto"/>
            </w:tcBorders>
            <w:tcMar>
              <w:left w:w="108" w:type="dxa"/>
              <w:right w:w="108" w:type="dxa"/>
            </w:tcMar>
            <w:vAlign w:val="center"/>
          </w:tcPr>
          <w:p w14:paraId="5AD395CE" w14:textId="77777777" w:rsidR="00CC1766" w:rsidRPr="006D648A" w:rsidRDefault="00CC1766" w:rsidP="0076547B">
            <w:pPr>
              <w:jc w:val="center"/>
              <w:rPr>
                <w:rFonts w:ascii="Arial" w:hAnsi="Arial"/>
                <w:sz w:val="22"/>
                <w:szCs w:val="22"/>
              </w:rPr>
            </w:pPr>
            <w:r w:rsidRPr="006D648A">
              <w:rPr>
                <w:rFonts w:ascii="Arial" w:eastAsia="Calibri" w:hAnsi="Arial"/>
                <w:color w:val="000000"/>
                <w:sz w:val="22"/>
                <w:szCs w:val="22"/>
              </w:rPr>
              <w:t>$150,000.00</w:t>
            </w:r>
          </w:p>
        </w:tc>
      </w:tr>
    </w:tbl>
    <w:p w14:paraId="27AA7153" w14:textId="77777777" w:rsidR="00CC1766" w:rsidRPr="006D648A" w:rsidRDefault="00CC1766" w:rsidP="00CC1766">
      <w:pPr>
        <w:rPr>
          <w:rFonts w:ascii="Arial" w:hAnsi="Arial"/>
          <w:sz w:val="22"/>
          <w:szCs w:val="22"/>
        </w:rPr>
      </w:pPr>
      <w:r w:rsidRPr="006D648A">
        <w:rPr>
          <w:rFonts w:ascii="Arial" w:hAnsi="Arial"/>
          <w:sz w:val="22"/>
          <w:szCs w:val="22"/>
        </w:rPr>
        <w:t>* All costs are reported in 2023 US dollars. Baseline values represent the primary input estimates used in the model. Low and high values represent the minimum and maximum ranges evaluated in one-way sensitivity analysis</w:t>
      </w:r>
    </w:p>
    <w:p w14:paraId="50CA36D9" w14:textId="77777777" w:rsidR="00E023F9" w:rsidRDefault="00E023F9"/>
    <w:sectPr w:rsidR="00E023F9" w:rsidSect="00CC1766">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D1C6" w14:textId="77777777" w:rsidR="00CC1766" w:rsidRDefault="00CC1766" w:rsidP="007659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32734729" w14:textId="77777777" w:rsidR="00CC1766" w:rsidRDefault="00CC1766" w:rsidP="00E068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5E2E" w14:textId="77777777" w:rsidR="00CC1766" w:rsidRDefault="00CC1766" w:rsidP="007659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F90B70" w14:textId="77777777" w:rsidR="00CC1766" w:rsidRDefault="00CC1766" w:rsidP="00E068D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8E1B9" w14:textId="77777777" w:rsidR="00CC1766" w:rsidRDefault="00CC176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072F" w14:textId="77777777" w:rsidR="00CC1766" w:rsidRDefault="00CC1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A480" w14:textId="77777777" w:rsidR="00CC1766" w:rsidRDefault="00CC17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8593" w14:textId="77777777" w:rsidR="00CC1766" w:rsidRDefault="00CC17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66"/>
    <w:rsid w:val="000C4033"/>
    <w:rsid w:val="00173ED8"/>
    <w:rsid w:val="002F50B1"/>
    <w:rsid w:val="004B42CB"/>
    <w:rsid w:val="005F2B46"/>
    <w:rsid w:val="006E1731"/>
    <w:rsid w:val="00866D74"/>
    <w:rsid w:val="00882A73"/>
    <w:rsid w:val="00906905"/>
    <w:rsid w:val="0095305D"/>
    <w:rsid w:val="00B10170"/>
    <w:rsid w:val="00B260B7"/>
    <w:rsid w:val="00B85331"/>
    <w:rsid w:val="00B9750E"/>
    <w:rsid w:val="00C94D66"/>
    <w:rsid w:val="00CC17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6D21E"/>
  <w15:chartTrackingRefBased/>
  <w15:docId w15:val="{6EBBB3A6-3ED9-4746-8DD9-5C22D4F0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766"/>
    <w:pPr>
      <w:spacing w:after="0" w:line="240" w:lineRule="auto"/>
    </w:pPr>
    <w:rPr>
      <w:rFonts w:ascii="Aptos" w:eastAsia="Aptos" w:hAnsi="Aptos" w:cs="Arial"/>
      <w:lang w:val="en-US"/>
      <w14:ligatures w14:val="none"/>
    </w:rPr>
  </w:style>
  <w:style w:type="paragraph" w:styleId="Heading1">
    <w:name w:val="heading 1"/>
    <w:basedOn w:val="Normal"/>
    <w:next w:val="Normal"/>
    <w:link w:val="Heading1Char"/>
    <w:uiPriority w:val="9"/>
    <w:qFormat/>
    <w:rsid w:val="00CC176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14:ligatures w14:val="standardContextual"/>
    </w:rPr>
  </w:style>
  <w:style w:type="paragraph" w:styleId="Heading2">
    <w:name w:val="heading 2"/>
    <w:basedOn w:val="Normal"/>
    <w:next w:val="Normal"/>
    <w:link w:val="Heading2Char"/>
    <w:uiPriority w:val="9"/>
    <w:semiHidden/>
    <w:unhideWhenUsed/>
    <w:qFormat/>
    <w:rsid w:val="00CC176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14:ligatures w14:val="standardContextual"/>
    </w:rPr>
  </w:style>
  <w:style w:type="paragraph" w:styleId="Heading3">
    <w:name w:val="heading 3"/>
    <w:basedOn w:val="Normal"/>
    <w:next w:val="Normal"/>
    <w:link w:val="Heading3Char"/>
    <w:uiPriority w:val="9"/>
    <w:semiHidden/>
    <w:unhideWhenUsed/>
    <w:qFormat/>
    <w:rsid w:val="00CC1766"/>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en-IN"/>
      <w14:ligatures w14:val="standardContextual"/>
    </w:rPr>
  </w:style>
  <w:style w:type="paragraph" w:styleId="Heading4">
    <w:name w:val="heading 4"/>
    <w:basedOn w:val="Normal"/>
    <w:next w:val="Normal"/>
    <w:link w:val="Heading4Char"/>
    <w:uiPriority w:val="9"/>
    <w:semiHidden/>
    <w:unhideWhenUsed/>
    <w:qFormat/>
    <w:rsid w:val="00CC1766"/>
    <w:pPr>
      <w:keepNext/>
      <w:keepLines/>
      <w:spacing w:before="80" w:after="40" w:line="278" w:lineRule="auto"/>
      <w:outlineLvl w:val="3"/>
    </w:pPr>
    <w:rPr>
      <w:rFonts w:asciiTheme="minorHAnsi" w:eastAsiaTheme="majorEastAsia" w:hAnsiTheme="minorHAnsi" w:cstheme="majorBidi"/>
      <w:i/>
      <w:iCs/>
      <w:color w:val="0F4761" w:themeColor="accent1" w:themeShade="BF"/>
      <w:lang w:val="en-IN"/>
      <w14:ligatures w14:val="standardContextual"/>
    </w:rPr>
  </w:style>
  <w:style w:type="paragraph" w:styleId="Heading5">
    <w:name w:val="heading 5"/>
    <w:basedOn w:val="Normal"/>
    <w:next w:val="Normal"/>
    <w:link w:val="Heading5Char"/>
    <w:uiPriority w:val="9"/>
    <w:semiHidden/>
    <w:unhideWhenUsed/>
    <w:qFormat/>
    <w:rsid w:val="00CC1766"/>
    <w:pPr>
      <w:keepNext/>
      <w:keepLines/>
      <w:spacing w:before="80" w:after="40" w:line="278" w:lineRule="auto"/>
      <w:outlineLvl w:val="4"/>
    </w:pPr>
    <w:rPr>
      <w:rFonts w:asciiTheme="minorHAnsi" w:eastAsiaTheme="majorEastAsia" w:hAnsiTheme="minorHAnsi" w:cstheme="majorBidi"/>
      <w:color w:val="0F4761" w:themeColor="accent1" w:themeShade="BF"/>
      <w:lang w:val="en-IN"/>
      <w14:ligatures w14:val="standardContextual"/>
    </w:rPr>
  </w:style>
  <w:style w:type="paragraph" w:styleId="Heading6">
    <w:name w:val="heading 6"/>
    <w:basedOn w:val="Normal"/>
    <w:next w:val="Normal"/>
    <w:link w:val="Heading6Char"/>
    <w:uiPriority w:val="9"/>
    <w:semiHidden/>
    <w:unhideWhenUsed/>
    <w:qFormat/>
    <w:rsid w:val="00CC1766"/>
    <w:pPr>
      <w:keepNext/>
      <w:keepLines/>
      <w:spacing w:before="40" w:line="278" w:lineRule="auto"/>
      <w:outlineLvl w:val="5"/>
    </w:pPr>
    <w:rPr>
      <w:rFonts w:asciiTheme="minorHAnsi" w:eastAsiaTheme="majorEastAsia" w:hAnsiTheme="minorHAnsi" w:cstheme="majorBidi"/>
      <w:i/>
      <w:iCs/>
      <w:color w:val="595959" w:themeColor="text1" w:themeTint="A6"/>
      <w:lang w:val="en-IN"/>
      <w14:ligatures w14:val="standardContextual"/>
    </w:rPr>
  </w:style>
  <w:style w:type="paragraph" w:styleId="Heading7">
    <w:name w:val="heading 7"/>
    <w:basedOn w:val="Normal"/>
    <w:next w:val="Normal"/>
    <w:link w:val="Heading7Char"/>
    <w:uiPriority w:val="9"/>
    <w:semiHidden/>
    <w:unhideWhenUsed/>
    <w:qFormat/>
    <w:rsid w:val="00CC1766"/>
    <w:pPr>
      <w:keepNext/>
      <w:keepLines/>
      <w:spacing w:before="40" w:line="278" w:lineRule="auto"/>
      <w:outlineLvl w:val="6"/>
    </w:pPr>
    <w:rPr>
      <w:rFonts w:asciiTheme="minorHAnsi" w:eastAsiaTheme="majorEastAsia" w:hAnsiTheme="minorHAnsi" w:cstheme="majorBidi"/>
      <w:color w:val="595959" w:themeColor="text1" w:themeTint="A6"/>
      <w:lang w:val="en-IN"/>
      <w14:ligatures w14:val="standardContextual"/>
    </w:rPr>
  </w:style>
  <w:style w:type="paragraph" w:styleId="Heading8">
    <w:name w:val="heading 8"/>
    <w:basedOn w:val="Normal"/>
    <w:next w:val="Normal"/>
    <w:link w:val="Heading8Char"/>
    <w:uiPriority w:val="9"/>
    <w:semiHidden/>
    <w:unhideWhenUsed/>
    <w:qFormat/>
    <w:rsid w:val="00CC1766"/>
    <w:pPr>
      <w:keepNext/>
      <w:keepLines/>
      <w:spacing w:line="278" w:lineRule="auto"/>
      <w:outlineLvl w:val="7"/>
    </w:pPr>
    <w:rPr>
      <w:rFonts w:asciiTheme="minorHAnsi" w:eastAsiaTheme="majorEastAsia" w:hAnsiTheme="minorHAnsi" w:cstheme="majorBidi"/>
      <w:i/>
      <w:iCs/>
      <w:color w:val="272727" w:themeColor="text1" w:themeTint="D8"/>
      <w:lang w:val="en-IN"/>
      <w14:ligatures w14:val="standardContextual"/>
    </w:rPr>
  </w:style>
  <w:style w:type="paragraph" w:styleId="Heading9">
    <w:name w:val="heading 9"/>
    <w:basedOn w:val="Normal"/>
    <w:next w:val="Normal"/>
    <w:link w:val="Heading9Char"/>
    <w:uiPriority w:val="9"/>
    <w:semiHidden/>
    <w:unhideWhenUsed/>
    <w:qFormat/>
    <w:rsid w:val="00CC1766"/>
    <w:pPr>
      <w:keepNext/>
      <w:keepLines/>
      <w:spacing w:line="278" w:lineRule="auto"/>
      <w:outlineLvl w:val="8"/>
    </w:pPr>
    <w:rPr>
      <w:rFonts w:asciiTheme="minorHAnsi" w:eastAsiaTheme="majorEastAsia" w:hAnsiTheme="minorHAnsi" w:cstheme="majorBidi"/>
      <w:color w:val="272727" w:themeColor="text1" w:themeTint="D8"/>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766"/>
    <w:rPr>
      <w:rFonts w:eastAsiaTheme="majorEastAsia" w:cstheme="majorBidi"/>
      <w:color w:val="272727" w:themeColor="text1" w:themeTint="D8"/>
    </w:rPr>
  </w:style>
  <w:style w:type="paragraph" w:styleId="Title">
    <w:name w:val="Title"/>
    <w:basedOn w:val="Normal"/>
    <w:next w:val="Normal"/>
    <w:link w:val="TitleChar"/>
    <w:uiPriority w:val="10"/>
    <w:qFormat/>
    <w:rsid w:val="00CC1766"/>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CC1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766"/>
    <w:pPr>
      <w:numPr>
        <w:ilvl w:val="1"/>
      </w:numPr>
      <w:spacing w:after="160" w:line="278" w:lineRule="auto"/>
    </w:pPr>
    <w:rPr>
      <w:rFonts w:asciiTheme="minorHAnsi" w:eastAsiaTheme="majorEastAsia" w:hAnsiTheme="minorHAnsi" w:cstheme="majorBidi"/>
      <w:color w:val="595959" w:themeColor="text1" w:themeTint="A6"/>
      <w:spacing w:val="15"/>
      <w:sz w:val="28"/>
      <w:szCs w:val="28"/>
      <w:lang w:val="en-IN"/>
      <w14:ligatures w14:val="standardContextual"/>
    </w:rPr>
  </w:style>
  <w:style w:type="character" w:customStyle="1" w:styleId="SubtitleChar">
    <w:name w:val="Subtitle Char"/>
    <w:basedOn w:val="DefaultParagraphFont"/>
    <w:link w:val="Subtitle"/>
    <w:uiPriority w:val="11"/>
    <w:rsid w:val="00CC1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766"/>
    <w:pPr>
      <w:spacing w:before="160" w:after="160" w:line="278" w:lineRule="auto"/>
      <w:jc w:val="center"/>
    </w:pPr>
    <w:rPr>
      <w:rFonts w:asciiTheme="minorHAnsi" w:eastAsiaTheme="minorHAnsi" w:hAnsiTheme="minorHAnsi" w:cstheme="minorBidi"/>
      <w:i/>
      <w:iCs/>
      <w:color w:val="404040" w:themeColor="text1" w:themeTint="BF"/>
      <w:lang w:val="en-IN"/>
      <w14:ligatures w14:val="standardContextual"/>
    </w:rPr>
  </w:style>
  <w:style w:type="character" w:customStyle="1" w:styleId="QuoteChar">
    <w:name w:val="Quote Char"/>
    <w:basedOn w:val="DefaultParagraphFont"/>
    <w:link w:val="Quote"/>
    <w:uiPriority w:val="29"/>
    <w:rsid w:val="00CC1766"/>
    <w:rPr>
      <w:i/>
      <w:iCs/>
      <w:color w:val="404040" w:themeColor="text1" w:themeTint="BF"/>
    </w:rPr>
  </w:style>
  <w:style w:type="paragraph" w:styleId="ListParagraph">
    <w:name w:val="List Paragraph"/>
    <w:basedOn w:val="Normal"/>
    <w:uiPriority w:val="34"/>
    <w:qFormat/>
    <w:rsid w:val="00CC1766"/>
    <w:pPr>
      <w:spacing w:after="160" w:line="278" w:lineRule="auto"/>
      <w:ind w:left="720"/>
      <w:contextualSpacing/>
    </w:pPr>
    <w:rPr>
      <w:rFonts w:asciiTheme="minorHAnsi" w:eastAsiaTheme="minorHAnsi" w:hAnsiTheme="minorHAnsi" w:cstheme="minorBidi"/>
      <w:lang w:val="en-IN"/>
      <w14:ligatures w14:val="standardContextual"/>
    </w:rPr>
  </w:style>
  <w:style w:type="character" w:styleId="IntenseEmphasis">
    <w:name w:val="Intense Emphasis"/>
    <w:basedOn w:val="DefaultParagraphFont"/>
    <w:uiPriority w:val="21"/>
    <w:qFormat/>
    <w:rsid w:val="00CC1766"/>
    <w:rPr>
      <w:i/>
      <w:iCs/>
      <w:color w:val="0F4761" w:themeColor="accent1" w:themeShade="BF"/>
    </w:rPr>
  </w:style>
  <w:style w:type="paragraph" w:styleId="IntenseQuote">
    <w:name w:val="Intense Quote"/>
    <w:basedOn w:val="Normal"/>
    <w:next w:val="Normal"/>
    <w:link w:val="IntenseQuoteChar"/>
    <w:uiPriority w:val="30"/>
    <w:qFormat/>
    <w:rsid w:val="00CC17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lang w:val="en-IN"/>
      <w14:ligatures w14:val="standardContextual"/>
    </w:rPr>
  </w:style>
  <w:style w:type="character" w:customStyle="1" w:styleId="IntenseQuoteChar">
    <w:name w:val="Intense Quote Char"/>
    <w:basedOn w:val="DefaultParagraphFont"/>
    <w:link w:val="IntenseQuote"/>
    <w:uiPriority w:val="30"/>
    <w:rsid w:val="00CC1766"/>
    <w:rPr>
      <w:i/>
      <w:iCs/>
      <w:color w:val="0F4761" w:themeColor="accent1" w:themeShade="BF"/>
    </w:rPr>
  </w:style>
  <w:style w:type="character" w:styleId="IntenseReference">
    <w:name w:val="Intense Reference"/>
    <w:basedOn w:val="DefaultParagraphFont"/>
    <w:uiPriority w:val="32"/>
    <w:qFormat/>
    <w:rsid w:val="00CC1766"/>
    <w:rPr>
      <w:b/>
      <w:bCs/>
      <w:smallCaps/>
      <w:color w:val="0F4761" w:themeColor="accent1" w:themeShade="BF"/>
      <w:spacing w:val="5"/>
    </w:rPr>
  </w:style>
  <w:style w:type="paragraph" w:styleId="Footer">
    <w:name w:val="footer"/>
    <w:basedOn w:val="Normal"/>
    <w:link w:val="FooterChar"/>
    <w:uiPriority w:val="99"/>
    <w:unhideWhenUsed/>
    <w:rsid w:val="00CC1766"/>
    <w:pPr>
      <w:tabs>
        <w:tab w:val="center" w:pos="4680"/>
        <w:tab w:val="right" w:pos="9360"/>
      </w:tabs>
    </w:pPr>
  </w:style>
  <w:style w:type="character" w:customStyle="1" w:styleId="FooterChar">
    <w:name w:val="Footer Char"/>
    <w:basedOn w:val="DefaultParagraphFont"/>
    <w:link w:val="Footer"/>
    <w:uiPriority w:val="99"/>
    <w:rsid w:val="00CC1766"/>
    <w:rPr>
      <w:rFonts w:ascii="Aptos" w:eastAsia="Aptos" w:hAnsi="Aptos" w:cs="Arial"/>
      <w:lang w:val="en-US"/>
      <w14:ligatures w14:val="none"/>
    </w:rPr>
  </w:style>
  <w:style w:type="character" w:styleId="PageNumber">
    <w:name w:val="page number"/>
    <w:basedOn w:val="DefaultParagraphFont"/>
    <w:uiPriority w:val="99"/>
    <w:semiHidden/>
    <w:unhideWhenUsed/>
    <w:rsid w:val="00CC1766"/>
  </w:style>
  <w:style w:type="paragraph" w:styleId="Header">
    <w:name w:val="header"/>
    <w:basedOn w:val="Normal"/>
    <w:link w:val="HeaderChar"/>
    <w:uiPriority w:val="99"/>
    <w:unhideWhenUsed/>
    <w:rsid w:val="00CC1766"/>
    <w:pPr>
      <w:tabs>
        <w:tab w:val="center" w:pos="4680"/>
        <w:tab w:val="right" w:pos="9360"/>
      </w:tabs>
    </w:pPr>
  </w:style>
  <w:style w:type="character" w:customStyle="1" w:styleId="HeaderChar">
    <w:name w:val="Header Char"/>
    <w:basedOn w:val="DefaultParagraphFont"/>
    <w:link w:val="Header"/>
    <w:uiPriority w:val="99"/>
    <w:rsid w:val="00CC1766"/>
    <w:rPr>
      <w:rFonts w:ascii="Aptos" w:eastAsia="Aptos" w:hAnsi="Aptos" w:cs="Arial"/>
      <w:lang w:val="en-US"/>
      <w14:ligatures w14:val="none"/>
    </w:rPr>
  </w:style>
  <w:style w:type="character" w:styleId="LineNumber">
    <w:name w:val="line number"/>
    <w:basedOn w:val="DefaultParagraphFont"/>
    <w:uiPriority w:val="99"/>
    <w:semiHidden/>
    <w:unhideWhenUsed/>
    <w:rsid w:val="00CC1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2026-06-29T15:00:00Z</dcterms:created>
  <dcterms:modified xsi:type="dcterms:W3CDTF">2026-06-29T15:00:00Z</dcterms:modified>
</cp:coreProperties>
</file>