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A74" w14:textId="77777777" w:rsidR="00301D55" w:rsidRPr="00400A4D" w:rsidRDefault="00301D55" w:rsidP="00301D55">
      <w:pPr>
        <w:rPr>
          <w:rFonts w:ascii="Times New Roman" w:hAnsi="Times New Roman" w:cs="Times New Roman"/>
          <w:b/>
          <w:bCs/>
        </w:rPr>
      </w:pPr>
      <w:r w:rsidRPr="00400A4D">
        <w:rPr>
          <w:rFonts w:ascii="Times New Roman" w:hAnsi="Times New Roman" w:cs="Times New Roman"/>
          <w:b/>
          <w:bCs/>
        </w:rPr>
        <w:t>Patient Versus Prediction-Level Evaluation of a Dynamic Clinical Prediction Model of Sepsis</w:t>
      </w:r>
    </w:p>
    <w:p w14:paraId="3AEA3E10" w14:textId="77777777" w:rsidR="00894EB5" w:rsidRPr="00400A4D" w:rsidRDefault="00301D55" w:rsidP="00894EB5">
      <w:pPr>
        <w:rPr>
          <w:rFonts w:ascii="Times New Roman" w:hAnsi="Times New Roman" w:cs="Times New Roman"/>
          <w:vertAlign w:val="superscript"/>
        </w:rPr>
      </w:pPr>
      <w:r w:rsidRPr="00400A4D">
        <w:rPr>
          <w:rFonts w:ascii="Times New Roman" w:hAnsi="Times New Roman" w:cs="Times New Roman"/>
        </w:rPr>
        <w:t xml:space="preserve">Authors: </w:t>
      </w:r>
      <w:r w:rsidR="00894EB5" w:rsidRPr="00400A4D">
        <w:rPr>
          <w:rFonts w:ascii="Times New Roman" w:hAnsi="Times New Roman" w:cs="Times New Roman"/>
        </w:rPr>
        <w:t>Marcelle Tuttle</w:t>
      </w:r>
      <w:r w:rsidR="00894EB5" w:rsidRPr="00400A4D">
        <w:rPr>
          <w:rFonts w:ascii="Times New Roman" w:hAnsi="Times New Roman" w:cs="Times New Roman"/>
          <w:vertAlign w:val="superscript"/>
        </w:rPr>
        <w:t>1</w:t>
      </w:r>
      <w:r w:rsidR="00894EB5" w:rsidRPr="00400A4D">
        <w:rPr>
          <w:rFonts w:ascii="Times New Roman" w:hAnsi="Times New Roman" w:cs="Times New Roman"/>
        </w:rPr>
        <w:t>, Carolien C H M Maas</w:t>
      </w:r>
      <w:r w:rsidR="00894EB5" w:rsidRPr="00400A4D">
        <w:rPr>
          <w:rFonts w:ascii="Times New Roman" w:hAnsi="Times New Roman" w:cs="Times New Roman"/>
          <w:vertAlign w:val="superscript"/>
        </w:rPr>
        <w:t>2</w:t>
      </w:r>
      <w:r w:rsidR="00894EB5">
        <w:rPr>
          <w:rFonts w:ascii="Times New Roman" w:hAnsi="Times New Roman" w:cs="Times New Roman"/>
          <w:vertAlign w:val="superscript"/>
        </w:rPr>
        <w:t>,3,4</w:t>
      </w:r>
      <w:r w:rsidR="00894EB5" w:rsidRPr="00400A4D">
        <w:rPr>
          <w:rFonts w:ascii="Times New Roman" w:hAnsi="Times New Roman" w:cs="Times New Roman"/>
        </w:rPr>
        <w:t>, Jennie An,</w:t>
      </w:r>
      <w:r w:rsidR="00894EB5">
        <w:rPr>
          <w:rFonts w:ascii="Times New Roman" w:hAnsi="Times New Roman" w:cs="Times New Roman"/>
          <w:vertAlign w:val="superscript"/>
        </w:rPr>
        <w:t>4</w:t>
      </w:r>
      <w:r w:rsidR="00894EB5" w:rsidRPr="00400A4D">
        <w:rPr>
          <w:rFonts w:ascii="Times New Roman" w:hAnsi="Times New Roman" w:cs="Times New Roman"/>
        </w:rPr>
        <w:t xml:space="preserve"> Benjamin S Wessler,</w:t>
      </w:r>
      <w:r w:rsidR="00894EB5">
        <w:rPr>
          <w:rFonts w:ascii="Times New Roman" w:hAnsi="Times New Roman" w:cs="Times New Roman"/>
          <w:vertAlign w:val="superscript"/>
        </w:rPr>
        <w:t>4,5</w:t>
      </w:r>
      <w:r w:rsidR="00894EB5" w:rsidRPr="00400A4D">
        <w:rPr>
          <w:rFonts w:ascii="Times New Roman" w:hAnsi="Times New Roman" w:cs="Times New Roman"/>
        </w:rPr>
        <w:t xml:space="preserve"> William F. Harvey,</w:t>
      </w:r>
      <w:r w:rsidR="00894EB5" w:rsidRPr="00400A4D">
        <w:rPr>
          <w:rFonts w:ascii="Times New Roman" w:hAnsi="Times New Roman" w:cs="Times New Roman"/>
          <w:vertAlign w:val="superscript"/>
        </w:rPr>
        <w:t>1</w:t>
      </w:r>
      <w:r w:rsidR="00894EB5" w:rsidRPr="00400A4D">
        <w:rPr>
          <w:rFonts w:ascii="Times New Roman" w:hAnsi="Times New Roman" w:cs="Times New Roman"/>
        </w:rPr>
        <w:t xml:space="preserve"> </w:t>
      </w:r>
      <w:r w:rsidR="00894EB5">
        <w:rPr>
          <w:rFonts w:ascii="Times New Roman" w:hAnsi="Times New Roman" w:cs="Times New Roman"/>
        </w:rPr>
        <w:t>Harry P Selker,</w:t>
      </w:r>
      <w:r w:rsidR="00894EB5">
        <w:rPr>
          <w:rFonts w:ascii="Times New Roman" w:hAnsi="Times New Roman" w:cs="Times New Roman"/>
          <w:vertAlign w:val="superscript"/>
        </w:rPr>
        <w:t>6,7</w:t>
      </w:r>
      <w:r w:rsidR="00894EB5">
        <w:rPr>
          <w:rFonts w:ascii="Times New Roman" w:hAnsi="Times New Roman" w:cs="Times New Roman"/>
        </w:rPr>
        <w:t xml:space="preserve"> </w:t>
      </w:r>
      <w:r w:rsidR="00894EB5" w:rsidRPr="00400A4D">
        <w:rPr>
          <w:rFonts w:ascii="Times New Roman" w:hAnsi="Times New Roman" w:cs="Times New Roman"/>
        </w:rPr>
        <w:t>David van Klaveren,</w:t>
      </w:r>
      <w:r w:rsidR="00894EB5">
        <w:rPr>
          <w:rFonts w:ascii="Times New Roman" w:hAnsi="Times New Roman" w:cs="Times New Roman"/>
          <w:vertAlign w:val="superscript"/>
        </w:rPr>
        <w:t>3,4</w:t>
      </w:r>
      <w:r w:rsidR="00894EB5" w:rsidRPr="00400A4D">
        <w:rPr>
          <w:rFonts w:ascii="Times New Roman" w:hAnsi="Times New Roman" w:cs="Times New Roman"/>
        </w:rPr>
        <w:t xml:space="preserve"> David M Kent</w:t>
      </w:r>
      <w:r w:rsidR="00894EB5" w:rsidRPr="00400A4D">
        <w:rPr>
          <w:rFonts w:ascii="Times New Roman" w:hAnsi="Times New Roman" w:cs="Times New Roman"/>
          <w:vertAlign w:val="superscript"/>
        </w:rPr>
        <w:t>1,</w:t>
      </w:r>
      <w:r w:rsidR="00894EB5">
        <w:rPr>
          <w:rFonts w:ascii="Times New Roman" w:hAnsi="Times New Roman" w:cs="Times New Roman"/>
          <w:vertAlign w:val="superscript"/>
        </w:rPr>
        <w:t>4</w:t>
      </w:r>
    </w:p>
    <w:p w14:paraId="7F480665" w14:textId="475BBF95" w:rsidR="00301D55" w:rsidRPr="00400A4D" w:rsidRDefault="00301D55" w:rsidP="00301D55">
      <w:pPr>
        <w:rPr>
          <w:rFonts w:ascii="Times New Roman" w:hAnsi="Times New Roman" w:cs="Times New Roman"/>
        </w:rPr>
      </w:pPr>
    </w:p>
    <w:p w14:paraId="3B40F404" w14:textId="2F691658" w:rsidR="00301D55" w:rsidRPr="00A01D2C" w:rsidRDefault="00301D55" w:rsidP="00BA5AD2">
      <w:pPr>
        <w:rPr>
          <w:rFonts w:ascii="Times New Roman" w:hAnsi="Times New Roman" w:cs="Times New Roman"/>
        </w:rPr>
      </w:pPr>
      <w:r w:rsidRPr="00A01D2C">
        <w:rPr>
          <w:rFonts w:ascii="Times New Roman" w:hAnsi="Times New Roman" w:cs="Times New Roman"/>
        </w:rPr>
        <w:t>Table of Contents</w:t>
      </w:r>
    </w:p>
    <w:p w14:paraId="62B4AF44" w14:textId="77777777" w:rsidR="00301D55" w:rsidRPr="00A01D2C" w:rsidRDefault="00301D55" w:rsidP="00301D55">
      <w:pPr>
        <w:rPr>
          <w:rFonts w:ascii="Times New Roman" w:hAnsi="Times New Roman" w:cs="Times New Roman"/>
        </w:rPr>
      </w:pPr>
      <w:r w:rsidRPr="00A01D2C">
        <w:rPr>
          <w:rFonts w:ascii="Times New Roman" w:hAnsi="Times New Roman" w:cs="Times New Roman"/>
        </w:rPr>
        <w:t xml:space="preserve">1. </w:t>
      </w:r>
      <w:r w:rsidRPr="00A01D2C">
        <w:rPr>
          <w:rFonts w:ascii="Times New Roman" w:hAnsi="Times New Roman" w:cs="Times New Roman"/>
          <w:b/>
          <w:bCs/>
        </w:rPr>
        <w:t>Supplementary Figure 1</w:t>
      </w:r>
      <w:r w:rsidRPr="00A01D2C">
        <w:rPr>
          <w:rFonts w:ascii="Times New Roman" w:hAnsi="Times New Roman" w:cs="Times New Roman"/>
        </w:rPr>
        <w:t>: Diagram of prediction-level analysis</w:t>
      </w:r>
    </w:p>
    <w:p w14:paraId="269A599A" w14:textId="0B29EEA4" w:rsidR="00301D55" w:rsidRPr="00A01D2C" w:rsidRDefault="00301D55" w:rsidP="00301D55">
      <w:pPr>
        <w:rPr>
          <w:rFonts w:ascii="Times New Roman" w:hAnsi="Times New Roman" w:cs="Times New Roman"/>
        </w:rPr>
      </w:pPr>
      <w:r w:rsidRPr="00A26DA6">
        <w:rPr>
          <w:rFonts w:ascii="Times New Roman" w:hAnsi="Times New Roman" w:cs="Times New Roman"/>
        </w:rPr>
        <w:t>2.</w:t>
      </w:r>
      <w:r w:rsidRPr="00A01D2C">
        <w:rPr>
          <w:rFonts w:ascii="Times New Roman" w:hAnsi="Times New Roman" w:cs="Times New Roman"/>
          <w:b/>
          <w:bCs/>
        </w:rPr>
        <w:t xml:space="preserve"> Supplementary Figure 2</w:t>
      </w:r>
      <w:r w:rsidRPr="00A01D2C">
        <w:rPr>
          <w:rFonts w:ascii="Times New Roman" w:hAnsi="Times New Roman" w:cs="Times New Roman"/>
        </w:rPr>
        <w:t>. Model performance from the prediction-level validation of ESMv2 with muting alerts for eight hours.</w:t>
      </w:r>
    </w:p>
    <w:p w14:paraId="65767F0D" w14:textId="51772B53" w:rsidR="009A417B" w:rsidRDefault="009A417B">
      <w:pPr>
        <w:spacing w:after="160" w:line="278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63C5FC79" w14:textId="7AD2C4F4" w:rsidR="009A417B" w:rsidRDefault="009A417B" w:rsidP="00F645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Supplemental Figure 1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38477E">
        <w:rPr>
          <w:rFonts w:ascii="Times New Roman" w:hAnsi="Times New Roman" w:cs="Times New Roman"/>
          <w:sz w:val="22"/>
          <w:szCs w:val="22"/>
        </w:rPr>
        <w:t>Diagram</w:t>
      </w:r>
      <w:r>
        <w:rPr>
          <w:rFonts w:ascii="Times New Roman" w:hAnsi="Times New Roman" w:cs="Times New Roman"/>
          <w:sz w:val="22"/>
          <w:szCs w:val="22"/>
        </w:rPr>
        <w:t xml:space="preserve"> of prediction</w:t>
      </w:r>
      <w:r w:rsidR="0038477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level analysis</w:t>
      </w:r>
    </w:p>
    <w:p w14:paraId="2B738CC6" w14:textId="2F55F9DF" w:rsidR="009A417B" w:rsidRPr="00301D55" w:rsidRDefault="0038477E" w:rsidP="00F645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05F9D88" wp14:editId="5103BE58">
            <wp:extent cx="5943600" cy="3343275"/>
            <wp:effectExtent l="0" t="0" r="0" b="9525"/>
            <wp:docPr id="556132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2915" name="Picture 5561329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C810" w14:textId="77777777" w:rsidR="009A417B" w:rsidRDefault="009A417B" w:rsidP="00F645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A7C2E74" w14:textId="27EEE372" w:rsidR="00FB7A56" w:rsidRDefault="00FB7A56">
      <w:pPr>
        <w:spacing w:after="160" w:line="278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Displayed are schematics of the prediction-level analysis demonstrating A) a false-positive alert, B) a </w:t>
      </w:r>
      <w:r w:rsidR="00301D55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rue-positive alert and C) A false-negative alert when muting is modeled. Starting two hours after hospitalization, each prediction serves as its own unit of analysis. The two</w:t>
      </w:r>
      <w:r w:rsidR="00301D55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hour time window before each prediction is scrutinized for the highest prediction</w:t>
      </w: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0DD34AA9" w14:textId="04CB6D3A" w:rsidR="00F645BD" w:rsidRPr="00BA4FCB" w:rsidRDefault="00F645BD" w:rsidP="00F645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Figure </w:t>
      </w:r>
      <w:r w:rsidR="009A417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BA4FCB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Model performance from the p</w:t>
      </w:r>
      <w:r w:rsidRPr="00BA4FCB">
        <w:rPr>
          <w:rFonts w:ascii="Times New Roman" w:hAnsi="Times New Roman" w:cs="Times New Roman"/>
          <w:sz w:val="22"/>
          <w:szCs w:val="22"/>
        </w:rPr>
        <w:t>rediction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BA4FCB">
        <w:rPr>
          <w:rFonts w:ascii="Times New Roman" w:hAnsi="Times New Roman" w:cs="Times New Roman"/>
          <w:sz w:val="22"/>
          <w:szCs w:val="22"/>
        </w:rPr>
        <w:t xml:space="preserve">level validation of ESMv2 with muting </w:t>
      </w:r>
      <w:r>
        <w:rPr>
          <w:rFonts w:ascii="Times New Roman" w:hAnsi="Times New Roman" w:cs="Times New Roman"/>
          <w:sz w:val="22"/>
          <w:szCs w:val="22"/>
        </w:rPr>
        <w:t>alerts</w:t>
      </w:r>
      <w:r w:rsidR="003B26DD">
        <w:rPr>
          <w:rFonts w:ascii="Times New Roman" w:hAnsi="Times New Roman" w:cs="Times New Roman"/>
          <w:sz w:val="22"/>
          <w:szCs w:val="22"/>
        </w:rPr>
        <w:t xml:space="preserve"> for eight hours</w:t>
      </w:r>
      <w:r w:rsidRPr="00BA4FCB">
        <w:rPr>
          <w:rFonts w:ascii="Times New Roman" w:hAnsi="Times New Roman" w:cs="Times New Roman"/>
          <w:sz w:val="22"/>
          <w:szCs w:val="22"/>
        </w:rPr>
        <w:t>.</w:t>
      </w:r>
    </w:p>
    <w:p w14:paraId="602CFC1E" w14:textId="4F8091E7" w:rsidR="003122A3" w:rsidRDefault="00E241F8">
      <w:r>
        <w:rPr>
          <w:noProof/>
        </w:rPr>
        <w:drawing>
          <wp:inline distT="0" distB="0" distL="0" distR="0" wp14:anchorId="126A231D" wp14:editId="1EE22F71">
            <wp:extent cx="5943600" cy="4048125"/>
            <wp:effectExtent l="0" t="0" r="0" b="9525"/>
            <wp:docPr id="2081325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25843" name="Picture 208132584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990"/>
        <w:gridCol w:w="900"/>
        <w:gridCol w:w="810"/>
        <w:gridCol w:w="900"/>
        <w:gridCol w:w="825"/>
        <w:gridCol w:w="975"/>
        <w:gridCol w:w="900"/>
        <w:gridCol w:w="900"/>
      </w:tblGrid>
      <w:tr w:rsidR="00D65ADE" w14:paraId="27D494AE" w14:textId="77777777" w:rsidTr="00131287">
        <w:tc>
          <w:tcPr>
            <w:tcW w:w="1975" w:type="dxa"/>
          </w:tcPr>
          <w:p w14:paraId="427586B9" w14:textId="77777777" w:rsidR="00D65ADE" w:rsidRPr="00EB2225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 Point (Days)</w:t>
            </w:r>
          </w:p>
        </w:tc>
        <w:tc>
          <w:tcPr>
            <w:tcW w:w="990" w:type="dxa"/>
          </w:tcPr>
          <w:p w14:paraId="31BE37AE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</w:p>
        </w:tc>
        <w:tc>
          <w:tcPr>
            <w:tcW w:w="900" w:type="dxa"/>
          </w:tcPr>
          <w:p w14:paraId="696AEB32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810" w:type="dxa"/>
          </w:tcPr>
          <w:p w14:paraId="45CDC6F6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</w:p>
        </w:tc>
        <w:tc>
          <w:tcPr>
            <w:tcW w:w="900" w:type="dxa"/>
          </w:tcPr>
          <w:p w14:paraId="0256B77E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825" w:type="dxa"/>
          </w:tcPr>
          <w:p w14:paraId="53CA145F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</w:t>
            </w:r>
          </w:p>
        </w:tc>
        <w:tc>
          <w:tcPr>
            <w:tcW w:w="975" w:type="dxa"/>
          </w:tcPr>
          <w:p w14:paraId="0A7C51D1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900" w:type="dxa"/>
          </w:tcPr>
          <w:p w14:paraId="5E5B661D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</w:t>
            </w:r>
          </w:p>
        </w:tc>
        <w:tc>
          <w:tcPr>
            <w:tcW w:w="900" w:type="dxa"/>
          </w:tcPr>
          <w:p w14:paraId="7369404C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</w:tr>
      <w:tr w:rsidR="00D65ADE" w14:paraId="33307C63" w14:textId="77777777" w:rsidTr="00131287">
        <w:tc>
          <w:tcPr>
            <w:tcW w:w="1975" w:type="dxa"/>
          </w:tcPr>
          <w:p w14:paraId="21588E6F" w14:textId="77777777" w:rsidR="00D65ADE" w:rsidRPr="00EB2225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22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Incidence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990" w:type="dxa"/>
          </w:tcPr>
          <w:p w14:paraId="5D5D0D24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900" w:type="dxa"/>
          </w:tcPr>
          <w:p w14:paraId="55CE0F98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</w:p>
        </w:tc>
        <w:tc>
          <w:tcPr>
            <w:tcW w:w="810" w:type="dxa"/>
          </w:tcPr>
          <w:p w14:paraId="5D391B2D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</w:p>
        </w:tc>
        <w:tc>
          <w:tcPr>
            <w:tcW w:w="900" w:type="dxa"/>
          </w:tcPr>
          <w:p w14:paraId="72D468D5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</w:p>
        </w:tc>
        <w:tc>
          <w:tcPr>
            <w:tcW w:w="825" w:type="dxa"/>
          </w:tcPr>
          <w:p w14:paraId="59C6AB43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</w:p>
        </w:tc>
        <w:tc>
          <w:tcPr>
            <w:tcW w:w="975" w:type="dxa"/>
          </w:tcPr>
          <w:p w14:paraId="35A51B28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  <w:tc>
          <w:tcPr>
            <w:tcW w:w="900" w:type="dxa"/>
          </w:tcPr>
          <w:p w14:paraId="1A0FA400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0.26</w:t>
            </w:r>
          </w:p>
        </w:tc>
        <w:tc>
          <w:tcPr>
            <w:tcW w:w="900" w:type="dxa"/>
          </w:tcPr>
          <w:p w14:paraId="65135F00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0.13</w:t>
            </w:r>
          </w:p>
        </w:tc>
      </w:tr>
      <w:tr w:rsidR="00D65ADE" w14:paraId="6EE07EC1" w14:textId="77777777" w:rsidTr="00131287">
        <w:tc>
          <w:tcPr>
            <w:tcW w:w="1975" w:type="dxa"/>
          </w:tcPr>
          <w:p w14:paraId="66209F54" w14:textId="77777777" w:rsidR="00D65ADE" w:rsidRPr="00EB5456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5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 at risk</w:t>
            </w:r>
          </w:p>
        </w:tc>
        <w:tc>
          <w:tcPr>
            <w:tcW w:w="990" w:type="dxa"/>
          </w:tcPr>
          <w:p w14:paraId="0C8D50A8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26498</w:t>
            </w:r>
          </w:p>
        </w:tc>
        <w:tc>
          <w:tcPr>
            <w:tcW w:w="900" w:type="dxa"/>
          </w:tcPr>
          <w:p w14:paraId="245BE92B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10063</w:t>
            </w:r>
          </w:p>
        </w:tc>
        <w:tc>
          <w:tcPr>
            <w:tcW w:w="810" w:type="dxa"/>
          </w:tcPr>
          <w:p w14:paraId="750CC992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8760</w:t>
            </w:r>
          </w:p>
        </w:tc>
        <w:tc>
          <w:tcPr>
            <w:tcW w:w="900" w:type="dxa"/>
          </w:tcPr>
          <w:p w14:paraId="069DD3AA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7574</w:t>
            </w:r>
          </w:p>
        </w:tc>
        <w:tc>
          <w:tcPr>
            <w:tcW w:w="825" w:type="dxa"/>
          </w:tcPr>
          <w:p w14:paraId="6FCDCA57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6631</w:t>
            </w:r>
          </w:p>
        </w:tc>
        <w:tc>
          <w:tcPr>
            <w:tcW w:w="975" w:type="dxa"/>
          </w:tcPr>
          <w:p w14:paraId="44D8648A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5535</w:t>
            </w:r>
          </w:p>
        </w:tc>
        <w:tc>
          <w:tcPr>
            <w:tcW w:w="900" w:type="dxa"/>
          </w:tcPr>
          <w:p w14:paraId="3C95E291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4704</w:t>
            </w:r>
          </w:p>
        </w:tc>
        <w:tc>
          <w:tcPr>
            <w:tcW w:w="900" w:type="dxa"/>
          </w:tcPr>
          <w:p w14:paraId="5D21A5BF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3780</w:t>
            </w:r>
          </w:p>
        </w:tc>
      </w:tr>
      <w:tr w:rsidR="00D65ADE" w14:paraId="4F158E7D" w14:textId="77777777" w:rsidTr="00131287">
        <w:tc>
          <w:tcPr>
            <w:tcW w:w="1975" w:type="dxa"/>
          </w:tcPr>
          <w:p w14:paraId="356BA14F" w14:textId="77777777" w:rsidR="00D65ADE" w:rsidRPr="00EB5456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5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True positives</w:t>
            </w:r>
          </w:p>
        </w:tc>
        <w:tc>
          <w:tcPr>
            <w:tcW w:w="990" w:type="dxa"/>
          </w:tcPr>
          <w:p w14:paraId="7D181C74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00" w:type="dxa"/>
          </w:tcPr>
          <w:p w14:paraId="2108764B" w14:textId="60B5A338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14:paraId="5CAEE14D" w14:textId="41491756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C0640CE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5" w:type="dxa"/>
          </w:tcPr>
          <w:p w14:paraId="56F10603" w14:textId="275149BE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5" w:type="dxa"/>
          </w:tcPr>
          <w:p w14:paraId="77807F7F" w14:textId="707394BA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17A8263F" w14:textId="1354C95F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</w:tcPr>
          <w:p w14:paraId="28D00326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65ADE" w14:paraId="29E918DD" w14:textId="77777777" w:rsidTr="00131287">
        <w:tc>
          <w:tcPr>
            <w:tcW w:w="1975" w:type="dxa"/>
          </w:tcPr>
          <w:p w14:paraId="09082868" w14:textId="77777777" w:rsidR="00D65ADE" w:rsidRPr="00EB5456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5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False Positives</w:t>
            </w:r>
          </w:p>
        </w:tc>
        <w:tc>
          <w:tcPr>
            <w:tcW w:w="990" w:type="dxa"/>
          </w:tcPr>
          <w:p w14:paraId="1902CCD7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3401</w:t>
            </w:r>
          </w:p>
        </w:tc>
        <w:tc>
          <w:tcPr>
            <w:tcW w:w="900" w:type="dxa"/>
          </w:tcPr>
          <w:p w14:paraId="1B790A48" w14:textId="521510C6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810" w:type="dxa"/>
          </w:tcPr>
          <w:p w14:paraId="0D8C2C26" w14:textId="7B5505F2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00" w:type="dxa"/>
          </w:tcPr>
          <w:p w14:paraId="558665ED" w14:textId="077D93DA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25" w:type="dxa"/>
          </w:tcPr>
          <w:p w14:paraId="200110D0" w14:textId="45482DAA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975" w:type="dxa"/>
          </w:tcPr>
          <w:p w14:paraId="63EEBBA0" w14:textId="0A061FCE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00" w:type="dxa"/>
          </w:tcPr>
          <w:p w14:paraId="58A0CE94" w14:textId="5338CC90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900" w:type="dxa"/>
          </w:tcPr>
          <w:p w14:paraId="2C21DB5C" w14:textId="475250E1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D65ADE" w14:paraId="51E6FE28" w14:textId="77777777" w:rsidTr="00131287">
        <w:tc>
          <w:tcPr>
            <w:tcW w:w="1975" w:type="dxa"/>
          </w:tcPr>
          <w:p w14:paraId="6E6B91DA" w14:textId="77777777" w:rsidR="00D65ADE" w:rsidRPr="00EB5456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5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True Negatives</w:t>
            </w:r>
          </w:p>
        </w:tc>
        <w:tc>
          <w:tcPr>
            <w:tcW w:w="990" w:type="dxa"/>
          </w:tcPr>
          <w:p w14:paraId="2FC7418C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22755</w:t>
            </w:r>
          </w:p>
        </w:tc>
        <w:tc>
          <w:tcPr>
            <w:tcW w:w="900" w:type="dxa"/>
          </w:tcPr>
          <w:p w14:paraId="0A2A5A53" w14:textId="2FDE69BC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9943</w:t>
            </w:r>
          </w:p>
        </w:tc>
        <w:tc>
          <w:tcPr>
            <w:tcW w:w="810" w:type="dxa"/>
          </w:tcPr>
          <w:p w14:paraId="15D7DA0D" w14:textId="448735EB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8700</w:t>
            </w:r>
          </w:p>
        </w:tc>
        <w:tc>
          <w:tcPr>
            <w:tcW w:w="900" w:type="dxa"/>
          </w:tcPr>
          <w:p w14:paraId="14D4EB88" w14:textId="02950438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7523</w:t>
            </w:r>
          </w:p>
        </w:tc>
        <w:tc>
          <w:tcPr>
            <w:tcW w:w="825" w:type="dxa"/>
          </w:tcPr>
          <w:p w14:paraId="475C8CD5" w14:textId="17A93589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6578</w:t>
            </w:r>
          </w:p>
        </w:tc>
        <w:tc>
          <w:tcPr>
            <w:tcW w:w="975" w:type="dxa"/>
          </w:tcPr>
          <w:p w14:paraId="4493ABB5" w14:textId="3027210A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5499</w:t>
            </w:r>
          </w:p>
        </w:tc>
        <w:tc>
          <w:tcPr>
            <w:tcW w:w="900" w:type="dxa"/>
          </w:tcPr>
          <w:p w14:paraId="702F20E8" w14:textId="2959951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4661</w:t>
            </w:r>
          </w:p>
        </w:tc>
        <w:tc>
          <w:tcPr>
            <w:tcW w:w="900" w:type="dxa"/>
          </w:tcPr>
          <w:p w14:paraId="5B0E6289" w14:textId="1B939423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3747</w:t>
            </w:r>
          </w:p>
        </w:tc>
      </w:tr>
      <w:tr w:rsidR="00D65ADE" w14:paraId="52A76407" w14:textId="77777777" w:rsidTr="00131287">
        <w:tc>
          <w:tcPr>
            <w:tcW w:w="1975" w:type="dxa"/>
          </w:tcPr>
          <w:p w14:paraId="25B11CF3" w14:textId="77777777" w:rsidR="00D65ADE" w:rsidRPr="00EB5456" w:rsidRDefault="00D65ADE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54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False Negatives</w:t>
            </w:r>
          </w:p>
        </w:tc>
        <w:tc>
          <w:tcPr>
            <w:tcW w:w="990" w:type="dxa"/>
          </w:tcPr>
          <w:p w14:paraId="16B056A5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900" w:type="dxa"/>
          </w:tcPr>
          <w:p w14:paraId="05F8AC8C" w14:textId="1BC75033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10" w:type="dxa"/>
          </w:tcPr>
          <w:p w14:paraId="3000179B" w14:textId="203C0FEE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00" w:type="dxa"/>
          </w:tcPr>
          <w:p w14:paraId="0E965740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25" w:type="dxa"/>
          </w:tcPr>
          <w:p w14:paraId="389DDFBB" w14:textId="5D903320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75" w:type="dxa"/>
          </w:tcPr>
          <w:p w14:paraId="1B9CEC97" w14:textId="0B9D8812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14:paraId="6E2D26A8" w14:textId="6C9B682F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14:paraId="5530F803" w14:textId="77777777" w:rsidR="00D65ADE" w:rsidRDefault="00D65ADE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867E2" w14:paraId="262816E3" w14:textId="77777777" w:rsidTr="00131287">
        <w:tc>
          <w:tcPr>
            <w:tcW w:w="1975" w:type="dxa"/>
          </w:tcPr>
          <w:p w14:paraId="083AF27A" w14:textId="2A3E9E36" w:rsidR="004867E2" w:rsidRPr="00EB5456" w:rsidRDefault="004867E2" w:rsidP="001312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Proportion of positive predictions (%)</w:t>
            </w:r>
          </w:p>
        </w:tc>
        <w:tc>
          <w:tcPr>
            <w:tcW w:w="990" w:type="dxa"/>
          </w:tcPr>
          <w:p w14:paraId="5874E02D" w14:textId="2EA8DC41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13.6</w:t>
            </w:r>
          </w:p>
        </w:tc>
        <w:tc>
          <w:tcPr>
            <w:tcW w:w="900" w:type="dxa"/>
          </w:tcPr>
          <w:p w14:paraId="16C8FE7C" w14:textId="311E89DE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810" w:type="dxa"/>
          </w:tcPr>
          <w:p w14:paraId="37D7903F" w14:textId="0E0230CC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900" w:type="dxa"/>
          </w:tcPr>
          <w:p w14:paraId="63C59960" w14:textId="6441B4F0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825" w:type="dxa"/>
          </w:tcPr>
          <w:p w14:paraId="2E99E592" w14:textId="38BC01D3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975" w:type="dxa"/>
          </w:tcPr>
          <w:p w14:paraId="6108E8E1" w14:textId="7ED73AF1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900" w:type="dxa"/>
          </w:tcPr>
          <w:p w14:paraId="2DDAED96" w14:textId="30A173EF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900" w:type="dxa"/>
          </w:tcPr>
          <w:p w14:paraId="42D951E8" w14:textId="74AB7298" w:rsidR="004867E2" w:rsidRDefault="004867E2" w:rsidP="001312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</w:tr>
    </w:tbl>
    <w:p w14:paraId="1A6F7F5B" w14:textId="77777777" w:rsidR="00D65ADE" w:rsidRDefault="00D65ADE" w:rsidP="00F645BD">
      <w:pPr>
        <w:rPr>
          <w:rFonts w:ascii="Times New Roman" w:hAnsi="Times New Roman" w:cs="Times New Roman"/>
          <w:sz w:val="22"/>
          <w:szCs w:val="22"/>
        </w:rPr>
      </w:pPr>
    </w:p>
    <w:p w14:paraId="4BA06599" w14:textId="1CC1243D" w:rsidR="00F645BD" w:rsidRDefault="00F645BD" w:rsidP="00F645BD">
      <w:pPr>
        <w:rPr>
          <w:rFonts w:ascii="Times New Roman" w:hAnsi="Times New Roman" w:cs="Times New Roman"/>
          <w:sz w:val="22"/>
          <w:szCs w:val="22"/>
        </w:rPr>
      </w:pPr>
      <w:r w:rsidRPr="00BA4FCB">
        <w:rPr>
          <w:rFonts w:ascii="Times New Roman" w:hAnsi="Times New Roman" w:cs="Times New Roman"/>
          <w:sz w:val="22"/>
          <w:szCs w:val="22"/>
        </w:rPr>
        <w:t xml:space="preserve">All statistics are shown using a threshold of 25 to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D37CC">
        <w:rPr>
          <w:rFonts w:ascii="Times New Roman" w:hAnsi="Times New Roman" w:cs="Times New Roman"/>
          <w:sz w:val="22"/>
          <w:szCs w:val="22"/>
        </w:rPr>
        <w:t xml:space="preserve">lert for sepsis. </w:t>
      </w:r>
      <w:r w:rsidRPr="001059FA">
        <w:rPr>
          <w:rFonts w:ascii="Times New Roman" w:hAnsi="Times New Roman" w:cs="Times New Roman"/>
          <w:sz w:val="22"/>
          <w:szCs w:val="22"/>
        </w:rPr>
        <w:t xml:space="preserve">Starting at two hours after admission, the highest prediction within the past two hours was ascertained for each hospitalization. </w:t>
      </w:r>
      <w:r w:rsidRPr="003D37CC">
        <w:rPr>
          <w:rFonts w:ascii="Times New Roman" w:hAnsi="Times New Roman" w:cs="Times New Roman"/>
          <w:sz w:val="22"/>
          <w:szCs w:val="22"/>
        </w:rPr>
        <w:t>Once a</w:t>
      </w:r>
      <w:r>
        <w:rPr>
          <w:rFonts w:ascii="Times New Roman" w:hAnsi="Times New Roman" w:cs="Times New Roman"/>
          <w:sz w:val="22"/>
          <w:szCs w:val="22"/>
        </w:rPr>
        <w:t>n alert was triggered,</w:t>
      </w:r>
      <w:r w:rsidRPr="00BA4FCB">
        <w:rPr>
          <w:rFonts w:ascii="Times New Roman" w:hAnsi="Times New Roman" w:cs="Times New Roman"/>
          <w:sz w:val="22"/>
          <w:szCs w:val="22"/>
        </w:rPr>
        <w:t xml:space="preserve"> all predictions for the next </w:t>
      </w:r>
      <w:r>
        <w:rPr>
          <w:rFonts w:ascii="Times New Roman" w:hAnsi="Times New Roman" w:cs="Times New Roman"/>
          <w:sz w:val="22"/>
          <w:szCs w:val="22"/>
        </w:rPr>
        <w:t>eight</w:t>
      </w:r>
      <w:r w:rsidRPr="00BA4FCB">
        <w:rPr>
          <w:rFonts w:ascii="Times New Roman" w:hAnsi="Times New Roman" w:cs="Times New Roman"/>
          <w:sz w:val="22"/>
          <w:szCs w:val="22"/>
        </w:rPr>
        <w:t xml:space="preserve"> hours were </w:t>
      </w:r>
      <w:proofErr w:type="gramStart"/>
      <w:r w:rsidRPr="00BA4FCB">
        <w:rPr>
          <w:rFonts w:ascii="Times New Roman" w:hAnsi="Times New Roman" w:cs="Times New Roman"/>
          <w:sz w:val="22"/>
          <w:szCs w:val="22"/>
        </w:rPr>
        <w:t>muted</w:t>
      </w:r>
      <w:proofErr w:type="gramEnd"/>
      <w:r w:rsidRPr="00BA4FCB">
        <w:rPr>
          <w:rFonts w:ascii="Times New Roman" w:hAnsi="Times New Roman" w:cs="Times New Roman"/>
          <w:sz w:val="22"/>
          <w:szCs w:val="22"/>
        </w:rPr>
        <w:t>.</w:t>
      </w:r>
      <w:r w:rsidRPr="00D316E5">
        <w:rPr>
          <w:rFonts w:ascii="Times New Roman" w:hAnsi="Times New Roman" w:cs="Times New Roman"/>
          <w:sz w:val="22"/>
          <w:szCs w:val="22"/>
        </w:rPr>
        <w:t xml:space="preserve"> </w:t>
      </w:r>
      <w:r w:rsidRPr="001F20E0">
        <w:rPr>
          <w:rFonts w:ascii="Times New Roman" w:hAnsi="Times New Roman" w:cs="Times New Roman"/>
          <w:sz w:val="22"/>
          <w:szCs w:val="22"/>
        </w:rPr>
        <w:t>Model p</w:t>
      </w:r>
      <w:r>
        <w:rPr>
          <w:rFonts w:ascii="Times New Roman" w:hAnsi="Times New Roman" w:cs="Times New Roman"/>
          <w:sz w:val="22"/>
          <w:szCs w:val="22"/>
        </w:rPr>
        <w:t xml:space="preserve">erformance over time was smoothed using locally weighted polynomial regression using a span of </w:t>
      </w:r>
      <w:r w:rsidR="007E4AF1">
        <w:rPr>
          <w:rFonts w:ascii="Times New Roman" w:hAnsi="Times New Roman" w:cs="Times New Roman"/>
          <w:sz w:val="22"/>
          <w:szCs w:val="22"/>
        </w:rPr>
        <w:t>0.15</w:t>
      </w:r>
      <w:r w:rsidR="00C1189E">
        <w:rPr>
          <w:rFonts w:ascii="Times New Roman" w:hAnsi="Times New Roman" w:cs="Times New Roman"/>
          <w:sz w:val="22"/>
          <w:szCs w:val="22"/>
        </w:rPr>
        <w:t>.</w:t>
      </w:r>
    </w:p>
    <w:p w14:paraId="63668395" w14:textId="77777777" w:rsidR="00F645BD" w:rsidRPr="00BA4FCB" w:rsidRDefault="00F645BD" w:rsidP="00F645B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24"/>
          <w:sz w:val="22"/>
          <w:szCs w:val="22"/>
        </w:rPr>
        <w:t>Abbreviations: PPV = positive predictive value, NPV = negative predictive value, AUC = area under the receiver operating characteristics curve.</w:t>
      </w:r>
    </w:p>
    <w:p w14:paraId="08A20B83" w14:textId="77777777" w:rsidR="00F645BD" w:rsidRDefault="00F645BD"/>
    <w:sectPr w:rsidR="00F6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10"/>
    <w:rsid w:val="00047B10"/>
    <w:rsid w:val="00220C50"/>
    <w:rsid w:val="00297193"/>
    <w:rsid w:val="00301D55"/>
    <w:rsid w:val="003122A3"/>
    <w:rsid w:val="0038477E"/>
    <w:rsid w:val="003B26DD"/>
    <w:rsid w:val="00440176"/>
    <w:rsid w:val="00472A1E"/>
    <w:rsid w:val="004867E2"/>
    <w:rsid w:val="00512604"/>
    <w:rsid w:val="0055490B"/>
    <w:rsid w:val="0057723A"/>
    <w:rsid w:val="00716330"/>
    <w:rsid w:val="007C1CC5"/>
    <w:rsid w:val="007E4AF1"/>
    <w:rsid w:val="00894EB5"/>
    <w:rsid w:val="008E3150"/>
    <w:rsid w:val="00931428"/>
    <w:rsid w:val="009646B7"/>
    <w:rsid w:val="00987539"/>
    <w:rsid w:val="009A417B"/>
    <w:rsid w:val="00A01D2C"/>
    <w:rsid w:val="00A25220"/>
    <w:rsid w:val="00A26DA6"/>
    <w:rsid w:val="00AB1AAE"/>
    <w:rsid w:val="00B46EEE"/>
    <w:rsid w:val="00BA5AD2"/>
    <w:rsid w:val="00C1189E"/>
    <w:rsid w:val="00D22F11"/>
    <w:rsid w:val="00D65ADE"/>
    <w:rsid w:val="00DD101D"/>
    <w:rsid w:val="00E241F8"/>
    <w:rsid w:val="00E24427"/>
    <w:rsid w:val="00F04CAD"/>
    <w:rsid w:val="00F07E6C"/>
    <w:rsid w:val="00F645BD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1269"/>
  <w15:chartTrackingRefBased/>
  <w15:docId w15:val="{8BAEFA8D-ABFC-4A16-96E5-351566ED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B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7B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B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1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1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1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1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1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1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1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4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5BD"/>
    <w:rPr>
      <w:sz w:val="20"/>
      <w:szCs w:val="20"/>
    </w:rPr>
  </w:style>
  <w:style w:type="table" w:styleId="TableGrid">
    <w:name w:val="Table Grid"/>
    <w:basedOn w:val="TableNormal"/>
    <w:uiPriority w:val="39"/>
    <w:rsid w:val="00D6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5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Medicine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Tuttle, Marcelle L</dc:creator>
  <cp:keywords/>
  <dc:description/>
  <cp:lastModifiedBy>An, Jennie</cp:lastModifiedBy>
  <cp:revision>5</cp:revision>
  <dcterms:created xsi:type="dcterms:W3CDTF">2026-05-14T19:11:00Z</dcterms:created>
  <dcterms:modified xsi:type="dcterms:W3CDTF">2026-05-15T14:26:00Z</dcterms:modified>
</cp:coreProperties>
</file>