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C698" w14:textId="2AEA3009" w:rsidR="00A055ED" w:rsidRPr="00A055ED" w:rsidRDefault="002124EF">
      <w:pPr>
        <w:rPr>
          <w:rFonts w:ascii="Times New Roman" w:hAnsi="Times New Roman" w:cs="Times New Roman"/>
          <w:b/>
          <w:bCs/>
          <w:szCs w:val="21"/>
        </w:rPr>
      </w:pPr>
      <w:r>
        <w:rPr>
          <w:rFonts w:ascii="Times New Roman" w:hAnsi="Times New Roman" w:cs="Times New Roman" w:hint="eastAsia"/>
          <w:b/>
          <w:bCs/>
          <w:szCs w:val="21"/>
        </w:rPr>
        <w:t>T</w:t>
      </w:r>
      <w:r w:rsidR="00A055ED" w:rsidRPr="00A055ED">
        <w:rPr>
          <w:rFonts w:ascii="Times New Roman" w:hAnsi="Times New Roman" w:cs="Times New Roman"/>
          <w:b/>
          <w:bCs/>
          <w:szCs w:val="21"/>
        </w:rPr>
        <w:t xml:space="preserve">able </w:t>
      </w:r>
      <w:r>
        <w:rPr>
          <w:rFonts w:ascii="Times New Roman" w:hAnsi="Times New Roman" w:cs="Times New Roman" w:hint="eastAsia"/>
          <w:b/>
          <w:bCs/>
          <w:szCs w:val="21"/>
        </w:rPr>
        <w:t xml:space="preserve">S1.  </w:t>
      </w:r>
      <w:r w:rsidR="00AF0BC5" w:rsidRPr="00AF0BC5">
        <w:rPr>
          <w:rFonts w:ascii="Times New Roman" w:hAnsi="Times New Roman" w:cs="Times New Roman"/>
          <w:b/>
          <w:bCs/>
          <w:szCs w:val="21"/>
        </w:rPr>
        <w:t>Multivariable Fine–Gray analyses for prostate cancer-specific and non-prostate cancer death in patients aged ≥75 and ≥80 years.</w:t>
      </w:r>
    </w:p>
    <w:p w14:paraId="22937C4C" w14:textId="77777777" w:rsidR="00A055ED" w:rsidRDefault="00A055ED">
      <w:pPr>
        <w:rPr>
          <w:rFonts w:ascii="Times New Roman" w:hAnsi="Times New Roman" w:cs="Times New Roman"/>
          <w:szCs w:val="21"/>
        </w:rPr>
      </w:pPr>
    </w:p>
    <w:tbl>
      <w:tblPr>
        <w:tblW w:w="14375" w:type="dxa"/>
        <w:tblCellMar>
          <w:left w:w="0" w:type="dxa"/>
          <w:right w:w="0" w:type="dxa"/>
        </w:tblCellMar>
        <w:tblLook w:val="0600" w:firstRow="0" w:lastRow="0" w:firstColumn="0" w:lastColumn="0" w:noHBand="1" w:noVBand="1"/>
      </w:tblPr>
      <w:tblGrid>
        <w:gridCol w:w="1827"/>
        <w:gridCol w:w="1252"/>
        <w:gridCol w:w="2959"/>
        <w:gridCol w:w="2158"/>
        <w:gridCol w:w="1097"/>
        <w:gridCol w:w="1810"/>
        <w:gridCol w:w="2158"/>
        <w:gridCol w:w="1114"/>
      </w:tblGrid>
      <w:tr w:rsidR="00A055ED" w:rsidRPr="00A055ED" w14:paraId="67B854BE" w14:textId="77777777" w:rsidTr="00A055ED">
        <w:trPr>
          <w:trHeight w:val="363"/>
        </w:trPr>
        <w:tc>
          <w:tcPr>
            <w:tcW w:w="1827"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0795ECB8"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b/>
                <w:bCs/>
                <w:szCs w:val="21"/>
              </w:rPr>
              <w:t>Age subgroup</w:t>
            </w:r>
          </w:p>
        </w:tc>
        <w:tc>
          <w:tcPr>
            <w:tcW w:w="1252"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1DA6F416"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b/>
                <w:bCs/>
                <w:szCs w:val="21"/>
              </w:rPr>
              <w:t>Outcome</w:t>
            </w:r>
          </w:p>
        </w:tc>
        <w:tc>
          <w:tcPr>
            <w:tcW w:w="2959"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28EEAE09"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b/>
                <w:bCs/>
                <w:szCs w:val="21"/>
              </w:rPr>
              <w:t>Variable</w:t>
            </w:r>
          </w:p>
        </w:tc>
        <w:tc>
          <w:tcPr>
            <w:tcW w:w="2158"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67975207" w14:textId="77777777" w:rsidR="00A055ED" w:rsidRPr="00A055ED" w:rsidRDefault="00A055ED" w:rsidP="00A055ED">
            <w:pPr>
              <w:jc w:val="center"/>
              <w:rPr>
                <w:rFonts w:ascii="Times New Roman" w:hAnsi="Times New Roman" w:cs="Times New Roman"/>
                <w:szCs w:val="21"/>
              </w:rPr>
            </w:pPr>
            <w:proofErr w:type="spellStart"/>
            <w:r w:rsidRPr="00A055ED">
              <w:rPr>
                <w:rFonts w:ascii="Times New Roman" w:hAnsi="Times New Roman" w:cs="Times New Roman"/>
                <w:b/>
                <w:bCs/>
                <w:szCs w:val="21"/>
              </w:rPr>
              <w:t>sHR</w:t>
            </w:r>
            <w:proofErr w:type="spellEnd"/>
            <w:r w:rsidRPr="00A055ED">
              <w:rPr>
                <w:rFonts w:ascii="Times New Roman" w:hAnsi="Times New Roman" w:cs="Times New Roman"/>
                <w:b/>
                <w:bCs/>
                <w:szCs w:val="21"/>
              </w:rPr>
              <w:t xml:space="preserve"> (95% CI)</w:t>
            </w:r>
          </w:p>
        </w:tc>
        <w:tc>
          <w:tcPr>
            <w:tcW w:w="1097"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3332D0AD"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b/>
                <w:bCs/>
                <w:szCs w:val="21"/>
              </w:rPr>
              <w:t>P value</w:t>
            </w:r>
          </w:p>
        </w:tc>
        <w:tc>
          <w:tcPr>
            <w:tcW w:w="1810"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3F7C5989"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b/>
                <w:bCs/>
                <w:szCs w:val="21"/>
              </w:rPr>
              <w:t>Outcome</w:t>
            </w:r>
          </w:p>
        </w:tc>
        <w:tc>
          <w:tcPr>
            <w:tcW w:w="2158"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2083AAB2" w14:textId="77777777" w:rsidR="00A055ED" w:rsidRPr="00A055ED" w:rsidRDefault="00A055ED" w:rsidP="00A055ED">
            <w:pPr>
              <w:jc w:val="center"/>
              <w:rPr>
                <w:rFonts w:ascii="Times New Roman" w:hAnsi="Times New Roman" w:cs="Times New Roman"/>
                <w:szCs w:val="21"/>
              </w:rPr>
            </w:pPr>
            <w:proofErr w:type="spellStart"/>
            <w:r w:rsidRPr="00A055ED">
              <w:rPr>
                <w:rFonts w:ascii="Times New Roman" w:hAnsi="Times New Roman" w:cs="Times New Roman"/>
                <w:b/>
                <w:bCs/>
                <w:szCs w:val="21"/>
              </w:rPr>
              <w:t>sHR</w:t>
            </w:r>
            <w:proofErr w:type="spellEnd"/>
            <w:r w:rsidRPr="00A055ED">
              <w:rPr>
                <w:rFonts w:ascii="Times New Roman" w:hAnsi="Times New Roman" w:cs="Times New Roman"/>
                <w:b/>
                <w:bCs/>
                <w:szCs w:val="21"/>
              </w:rPr>
              <w:t xml:space="preserve"> (95% CI)</w:t>
            </w:r>
          </w:p>
        </w:tc>
        <w:tc>
          <w:tcPr>
            <w:tcW w:w="1114"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763844E7"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b/>
                <w:bCs/>
                <w:szCs w:val="21"/>
              </w:rPr>
              <w:t>P value</w:t>
            </w:r>
          </w:p>
        </w:tc>
      </w:tr>
      <w:tr w:rsidR="00A055ED" w:rsidRPr="00A055ED" w14:paraId="613C960C" w14:textId="77777777" w:rsidTr="00A055ED">
        <w:trPr>
          <w:trHeight w:val="363"/>
        </w:trPr>
        <w:tc>
          <w:tcPr>
            <w:tcW w:w="1827" w:type="dxa"/>
            <w:tcBorders>
              <w:top w:val="single" w:sz="4" w:space="0" w:color="000000"/>
              <w:left w:val="nil"/>
              <w:bottom w:val="nil"/>
              <w:right w:val="nil"/>
            </w:tcBorders>
            <w:tcMar>
              <w:top w:w="11" w:type="dxa"/>
              <w:left w:w="11" w:type="dxa"/>
              <w:bottom w:w="0" w:type="dxa"/>
              <w:right w:w="11" w:type="dxa"/>
            </w:tcMar>
            <w:vAlign w:val="center"/>
            <w:hideMark/>
          </w:tcPr>
          <w:p w14:paraId="2597DC8F"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≥75 years</w:t>
            </w:r>
          </w:p>
        </w:tc>
        <w:tc>
          <w:tcPr>
            <w:tcW w:w="1252" w:type="dxa"/>
            <w:tcBorders>
              <w:top w:val="single" w:sz="4" w:space="0" w:color="000000"/>
              <w:left w:val="nil"/>
              <w:bottom w:val="nil"/>
              <w:right w:val="nil"/>
            </w:tcBorders>
            <w:tcMar>
              <w:top w:w="11" w:type="dxa"/>
              <w:left w:w="11" w:type="dxa"/>
              <w:bottom w:w="0" w:type="dxa"/>
              <w:right w:w="11" w:type="dxa"/>
            </w:tcMar>
            <w:vAlign w:val="center"/>
            <w:hideMark/>
          </w:tcPr>
          <w:p w14:paraId="4DF52421"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PC death</w:t>
            </w:r>
          </w:p>
        </w:tc>
        <w:tc>
          <w:tcPr>
            <w:tcW w:w="2959" w:type="dxa"/>
            <w:tcBorders>
              <w:top w:val="single" w:sz="4" w:space="0" w:color="000000"/>
              <w:left w:val="nil"/>
              <w:bottom w:val="nil"/>
              <w:right w:val="nil"/>
            </w:tcBorders>
            <w:tcMar>
              <w:top w:w="11" w:type="dxa"/>
              <w:left w:w="11" w:type="dxa"/>
              <w:bottom w:w="0" w:type="dxa"/>
              <w:right w:w="11" w:type="dxa"/>
            </w:tcMar>
            <w:vAlign w:val="center"/>
            <w:hideMark/>
          </w:tcPr>
          <w:p w14:paraId="5077D915"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Upfront treatment</w:t>
            </w:r>
          </w:p>
        </w:tc>
        <w:tc>
          <w:tcPr>
            <w:tcW w:w="2158" w:type="dxa"/>
            <w:tcBorders>
              <w:top w:val="single" w:sz="4" w:space="0" w:color="000000"/>
              <w:left w:val="nil"/>
              <w:bottom w:val="nil"/>
              <w:right w:val="nil"/>
            </w:tcBorders>
            <w:tcMar>
              <w:top w:w="11" w:type="dxa"/>
              <w:left w:w="11" w:type="dxa"/>
              <w:bottom w:w="0" w:type="dxa"/>
              <w:right w:w="11" w:type="dxa"/>
            </w:tcMar>
            <w:vAlign w:val="center"/>
            <w:hideMark/>
          </w:tcPr>
          <w:p w14:paraId="20CFE554"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0.62 (0.43–0.90)</w:t>
            </w:r>
          </w:p>
        </w:tc>
        <w:tc>
          <w:tcPr>
            <w:tcW w:w="1097" w:type="dxa"/>
            <w:tcBorders>
              <w:top w:val="single" w:sz="4" w:space="0" w:color="000000"/>
              <w:left w:val="nil"/>
              <w:bottom w:val="nil"/>
              <w:right w:val="nil"/>
            </w:tcBorders>
            <w:tcMar>
              <w:top w:w="11" w:type="dxa"/>
              <w:left w:w="11" w:type="dxa"/>
              <w:bottom w:w="0" w:type="dxa"/>
              <w:right w:w="11" w:type="dxa"/>
            </w:tcMar>
            <w:vAlign w:val="center"/>
            <w:hideMark/>
          </w:tcPr>
          <w:p w14:paraId="629D942A"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0.01</w:t>
            </w:r>
          </w:p>
        </w:tc>
        <w:tc>
          <w:tcPr>
            <w:tcW w:w="1810" w:type="dxa"/>
            <w:tcBorders>
              <w:top w:val="single" w:sz="4" w:space="0" w:color="000000"/>
              <w:left w:val="nil"/>
              <w:bottom w:val="nil"/>
              <w:right w:val="nil"/>
            </w:tcBorders>
            <w:tcMar>
              <w:top w:w="11" w:type="dxa"/>
              <w:left w:w="11" w:type="dxa"/>
              <w:bottom w:w="0" w:type="dxa"/>
              <w:right w:w="11" w:type="dxa"/>
            </w:tcMar>
            <w:vAlign w:val="center"/>
            <w:hideMark/>
          </w:tcPr>
          <w:p w14:paraId="524A087E"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Non-PC death</w:t>
            </w:r>
          </w:p>
        </w:tc>
        <w:tc>
          <w:tcPr>
            <w:tcW w:w="2158" w:type="dxa"/>
            <w:tcBorders>
              <w:top w:val="single" w:sz="4" w:space="0" w:color="000000"/>
              <w:left w:val="nil"/>
              <w:bottom w:val="nil"/>
              <w:right w:val="nil"/>
            </w:tcBorders>
            <w:tcMar>
              <w:top w:w="11" w:type="dxa"/>
              <w:left w:w="11" w:type="dxa"/>
              <w:bottom w:w="0" w:type="dxa"/>
              <w:right w:w="11" w:type="dxa"/>
            </w:tcMar>
            <w:vAlign w:val="center"/>
            <w:hideMark/>
          </w:tcPr>
          <w:p w14:paraId="7D349F90"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1.08 (0.65–1.79)</w:t>
            </w:r>
          </w:p>
        </w:tc>
        <w:tc>
          <w:tcPr>
            <w:tcW w:w="1114" w:type="dxa"/>
            <w:tcBorders>
              <w:top w:val="single" w:sz="4" w:space="0" w:color="000000"/>
              <w:left w:val="nil"/>
              <w:bottom w:val="nil"/>
              <w:right w:val="nil"/>
            </w:tcBorders>
            <w:tcMar>
              <w:top w:w="11" w:type="dxa"/>
              <w:left w:w="11" w:type="dxa"/>
              <w:bottom w:w="0" w:type="dxa"/>
              <w:right w:w="11" w:type="dxa"/>
            </w:tcMar>
            <w:vAlign w:val="center"/>
            <w:hideMark/>
          </w:tcPr>
          <w:p w14:paraId="66DA56B0"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0.76</w:t>
            </w:r>
          </w:p>
        </w:tc>
      </w:tr>
      <w:tr w:rsidR="00A055ED" w:rsidRPr="00A055ED" w14:paraId="6B836910"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6C552AB7"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1A549EF3"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3B629C7B"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Age, years</w:t>
            </w:r>
          </w:p>
        </w:tc>
        <w:tc>
          <w:tcPr>
            <w:tcW w:w="2158" w:type="dxa"/>
            <w:tcBorders>
              <w:top w:val="nil"/>
              <w:left w:val="nil"/>
              <w:bottom w:val="nil"/>
              <w:right w:val="nil"/>
            </w:tcBorders>
            <w:tcMar>
              <w:top w:w="11" w:type="dxa"/>
              <w:left w:w="11" w:type="dxa"/>
              <w:bottom w:w="0" w:type="dxa"/>
              <w:right w:w="11" w:type="dxa"/>
            </w:tcMar>
            <w:vAlign w:val="center"/>
            <w:hideMark/>
          </w:tcPr>
          <w:p w14:paraId="5119EA1B"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1.04 (0.98–1.09)</w:t>
            </w:r>
          </w:p>
        </w:tc>
        <w:tc>
          <w:tcPr>
            <w:tcW w:w="1097" w:type="dxa"/>
            <w:tcBorders>
              <w:top w:val="nil"/>
              <w:left w:val="nil"/>
              <w:bottom w:val="nil"/>
              <w:right w:val="nil"/>
            </w:tcBorders>
            <w:tcMar>
              <w:top w:w="11" w:type="dxa"/>
              <w:left w:w="11" w:type="dxa"/>
              <w:bottom w:w="0" w:type="dxa"/>
              <w:right w:w="11" w:type="dxa"/>
            </w:tcMar>
            <w:vAlign w:val="center"/>
            <w:hideMark/>
          </w:tcPr>
          <w:p w14:paraId="6A36FC53"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0.18</w:t>
            </w:r>
          </w:p>
        </w:tc>
        <w:tc>
          <w:tcPr>
            <w:tcW w:w="1810" w:type="dxa"/>
            <w:tcBorders>
              <w:top w:val="nil"/>
              <w:left w:val="nil"/>
              <w:bottom w:val="nil"/>
              <w:right w:val="nil"/>
            </w:tcBorders>
            <w:tcMar>
              <w:top w:w="11" w:type="dxa"/>
              <w:left w:w="11" w:type="dxa"/>
              <w:bottom w:w="0" w:type="dxa"/>
              <w:right w:w="11" w:type="dxa"/>
            </w:tcMar>
            <w:vAlign w:val="center"/>
            <w:hideMark/>
          </w:tcPr>
          <w:p w14:paraId="5A7AF948"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3ABA2609"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1.06 (1.01–1.12)</w:t>
            </w:r>
          </w:p>
        </w:tc>
        <w:tc>
          <w:tcPr>
            <w:tcW w:w="1114" w:type="dxa"/>
            <w:tcBorders>
              <w:top w:val="nil"/>
              <w:left w:val="nil"/>
              <w:bottom w:val="nil"/>
              <w:right w:val="nil"/>
            </w:tcBorders>
            <w:tcMar>
              <w:top w:w="11" w:type="dxa"/>
              <w:left w:w="11" w:type="dxa"/>
              <w:bottom w:w="0" w:type="dxa"/>
              <w:right w:w="11" w:type="dxa"/>
            </w:tcMar>
            <w:vAlign w:val="center"/>
            <w:hideMark/>
          </w:tcPr>
          <w:p w14:paraId="1251E9CF"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0.02</w:t>
            </w:r>
          </w:p>
        </w:tc>
      </w:tr>
      <w:tr w:rsidR="00A055ED" w:rsidRPr="00A055ED" w14:paraId="59C75BD4"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2B6273DD"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7B03B23C"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57D9968A"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ECOG PS (0-4)</w:t>
            </w:r>
          </w:p>
        </w:tc>
        <w:tc>
          <w:tcPr>
            <w:tcW w:w="2158" w:type="dxa"/>
            <w:tcBorders>
              <w:top w:val="nil"/>
              <w:left w:val="nil"/>
              <w:bottom w:val="nil"/>
              <w:right w:val="nil"/>
            </w:tcBorders>
            <w:tcMar>
              <w:top w:w="11" w:type="dxa"/>
              <w:left w:w="11" w:type="dxa"/>
              <w:bottom w:w="0" w:type="dxa"/>
              <w:right w:w="11" w:type="dxa"/>
            </w:tcMar>
            <w:vAlign w:val="center"/>
            <w:hideMark/>
          </w:tcPr>
          <w:p w14:paraId="517117F4"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0.90 (0.72–1.12)</w:t>
            </w:r>
          </w:p>
        </w:tc>
        <w:tc>
          <w:tcPr>
            <w:tcW w:w="1097" w:type="dxa"/>
            <w:tcBorders>
              <w:top w:val="nil"/>
              <w:left w:val="nil"/>
              <w:bottom w:val="nil"/>
              <w:right w:val="nil"/>
            </w:tcBorders>
            <w:tcMar>
              <w:top w:w="11" w:type="dxa"/>
              <w:left w:w="11" w:type="dxa"/>
              <w:bottom w:w="0" w:type="dxa"/>
              <w:right w:w="11" w:type="dxa"/>
            </w:tcMar>
            <w:vAlign w:val="center"/>
            <w:hideMark/>
          </w:tcPr>
          <w:p w14:paraId="7AB0D416"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0.35</w:t>
            </w:r>
          </w:p>
        </w:tc>
        <w:tc>
          <w:tcPr>
            <w:tcW w:w="1810" w:type="dxa"/>
            <w:tcBorders>
              <w:top w:val="nil"/>
              <w:left w:val="nil"/>
              <w:bottom w:val="nil"/>
              <w:right w:val="nil"/>
            </w:tcBorders>
            <w:tcMar>
              <w:top w:w="11" w:type="dxa"/>
              <w:left w:w="11" w:type="dxa"/>
              <w:bottom w:w="0" w:type="dxa"/>
              <w:right w:w="11" w:type="dxa"/>
            </w:tcMar>
            <w:vAlign w:val="center"/>
            <w:hideMark/>
          </w:tcPr>
          <w:p w14:paraId="6CC55822"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69D31233"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1.33 (1.05–1.69)</w:t>
            </w:r>
          </w:p>
        </w:tc>
        <w:tc>
          <w:tcPr>
            <w:tcW w:w="1114" w:type="dxa"/>
            <w:tcBorders>
              <w:top w:val="nil"/>
              <w:left w:val="nil"/>
              <w:bottom w:val="nil"/>
              <w:right w:val="nil"/>
            </w:tcBorders>
            <w:tcMar>
              <w:top w:w="11" w:type="dxa"/>
              <w:left w:w="11" w:type="dxa"/>
              <w:bottom w:w="0" w:type="dxa"/>
              <w:right w:w="11" w:type="dxa"/>
            </w:tcMar>
            <w:vAlign w:val="center"/>
            <w:hideMark/>
          </w:tcPr>
          <w:p w14:paraId="616E267C"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0.02</w:t>
            </w:r>
          </w:p>
        </w:tc>
      </w:tr>
      <w:tr w:rsidR="00A055ED" w:rsidRPr="00A055ED" w14:paraId="7D27B7DB"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501ACCB9"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2F2CC6F3"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63D927C6"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Total Gleason score</w:t>
            </w:r>
          </w:p>
        </w:tc>
        <w:tc>
          <w:tcPr>
            <w:tcW w:w="2158" w:type="dxa"/>
            <w:tcBorders>
              <w:top w:val="nil"/>
              <w:left w:val="nil"/>
              <w:bottom w:val="nil"/>
              <w:right w:val="nil"/>
            </w:tcBorders>
            <w:tcMar>
              <w:top w:w="11" w:type="dxa"/>
              <w:left w:w="11" w:type="dxa"/>
              <w:bottom w:w="0" w:type="dxa"/>
              <w:right w:w="11" w:type="dxa"/>
            </w:tcMar>
            <w:vAlign w:val="center"/>
            <w:hideMark/>
          </w:tcPr>
          <w:p w14:paraId="1CD7CC6B"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1.16 (0.89–1.53)</w:t>
            </w:r>
          </w:p>
        </w:tc>
        <w:tc>
          <w:tcPr>
            <w:tcW w:w="1097" w:type="dxa"/>
            <w:tcBorders>
              <w:top w:val="nil"/>
              <w:left w:val="nil"/>
              <w:bottom w:val="nil"/>
              <w:right w:val="nil"/>
            </w:tcBorders>
            <w:tcMar>
              <w:top w:w="11" w:type="dxa"/>
              <w:left w:w="11" w:type="dxa"/>
              <w:bottom w:w="0" w:type="dxa"/>
              <w:right w:w="11" w:type="dxa"/>
            </w:tcMar>
            <w:vAlign w:val="center"/>
            <w:hideMark/>
          </w:tcPr>
          <w:p w14:paraId="1DC9F785"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0.27</w:t>
            </w:r>
          </w:p>
        </w:tc>
        <w:tc>
          <w:tcPr>
            <w:tcW w:w="1810" w:type="dxa"/>
            <w:tcBorders>
              <w:top w:val="nil"/>
              <w:left w:val="nil"/>
              <w:bottom w:val="nil"/>
              <w:right w:val="nil"/>
            </w:tcBorders>
            <w:tcMar>
              <w:top w:w="11" w:type="dxa"/>
              <w:left w:w="11" w:type="dxa"/>
              <w:bottom w:w="0" w:type="dxa"/>
              <w:right w:w="11" w:type="dxa"/>
            </w:tcMar>
            <w:vAlign w:val="center"/>
            <w:hideMark/>
          </w:tcPr>
          <w:p w14:paraId="68296A34"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17DC3245"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1.06 (0.79–1.42)</w:t>
            </w:r>
          </w:p>
        </w:tc>
        <w:tc>
          <w:tcPr>
            <w:tcW w:w="1114" w:type="dxa"/>
            <w:tcBorders>
              <w:top w:val="nil"/>
              <w:left w:val="nil"/>
              <w:bottom w:val="nil"/>
              <w:right w:val="nil"/>
            </w:tcBorders>
            <w:tcMar>
              <w:top w:w="11" w:type="dxa"/>
              <w:left w:w="11" w:type="dxa"/>
              <w:bottom w:w="0" w:type="dxa"/>
              <w:right w:w="11" w:type="dxa"/>
            </w:tcMar>
            <w:vAlign w:val="center"/>
            <w:hideMark/>
          </w:tcPr>
          <w:p w14:paraId="758151B0"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0.71</w:t>
            </w:r>
          </w:p>
        </w:tc>
      </w:tr>
      <w:tr w:rsidR="00A055ED" w:rsidRPr="00A055ED" w14:paraId="35DDAB51"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77C5548D"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68499922"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6A84AD8D"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Bone metastases</w:t>
            </w:r>
          </w:p>
        </w:tc>
        <w:tc>
          <w:tcPr>
            <w:tcW w:w="2158" w:type="dxa"/>
            <w:tcBorders>
              <w:top w:val="nil"/>
              <w:left w:val="nil"/>
              <w:bottom w:val="nil"/>
              <w:right w:val="nil"/>
            </w:tcBorders>
            <w:tcMar>
              <w:top w:w="11" w:type="dxa"/>
              <w:left w:w="11" w:type="dxa"/>
              <w:bottom w:w="0" w:type="dxa"/>
              <w:right w:w="11" w:type="dxa"/>
            </w:tcMar>
            <w:vAlign w:val="center"/>
            <w:hideMark/>
          </w:tcPr>
          <w:p w14:paraId="7F02F241"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0.59 (0.24–1.42)</w:t>
            </w:r>
          </w:p>
        </w:tc>
        <w:tc>
          <w:tcPr>
            <w:tcW w:w="1097" w:type="dxa"/>
            <w:tcBorders>
              <w:top w:val="nil"/>
              <w:left w:val="nil"/>
              <w:bottom w:val="nil"/>
              <w:right w:val="nil"/>
            </w:tcBorders>
            <w:tcMar>
              <w:top w:w="11" w:type="dxa"/>
              <w:left w:w="11" w:type="dxa"/>
              <w:bottom w:w="0" w:type="dxa"/>
              <w:right w:w="11" w:type="dxa"/>
            </w:tcMar>
            <w:vAlign w:val="center"/>
            <w:hideMark/>
          </w:tcPr>
          <w:p w14:paraId="2F14A75E"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0.24</w:t>
            </w:r>
          </w:p>
        </w:tc>
        <w:tc>
          <w:tcPr>
            <w:tcW w:w="1810" w:type="dxa"/>
            <w:tcBorders>
              <w:top w:val="nil"/>
              <w:left w:val="nil"/>
              <w:bottom w:val="nil"/>
              <w:right w:val="nil"/>
            </w:tcBorders>
            <w:tcMar>
              <w:top w:w="11" w:type="dxa"/>
              <w:left w:w="11" w:type="dxa"/>
              <w:bottom w:w="0" w:type="dxa"/>
              <w:right w:w="11" w:type="dxa"/>
            </w:tcMar>
            <w:vAlign w:val="center"/>
            <w:hideMark/>
          </w:tcPr>
          <w:p w14:paraId="46658F73"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413D0180"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0.78 (0.35–1.76)</w:t>
            </w:r>
          </w:p>
        </w:tc>
        <w:tc>
          <w:tcPr>
            <w:tcW w:w="1114" w:type="dxa"/>
            <w:tcBorders>
              <w:top w:val="nil"/>
              <w:left w:val="nil"/>
              <w:bottom w:val="nil"/>
              <w:right w:val="nil"/>
            </w:tcBorders>
            <w:tcMar>
              <w:top w:w="11" w:type="dxa"/>
              <w:left w:w="11" w:type="dxa"/>
              <w:bottom w:w="0" w:type="dxa"/>
              <w:right w:w="11" w:type="dxa"/>
            </w:tcMar>
            <w:vAlign w:val="center"/>
            <w:hideMark/>
          </w:tcPr>
          <w:p w14:paraId="5C6F535B"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0.55</w:t>
            </w:r>
          </w:p>
        </w:tc>
      </w:tr>
      <w:tr w:rsidR="00A055ED" w:rsidRPr="00A055ED" w14:paraId="2009FF33"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1402136D"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2EAFFDA3"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30A2232B"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Lymph node metastases</w:t>
            </w:r>
          </w:p>
        </w:tc>
        <w:tc>
          <w:tcPr>
            <w:tcW w:w="2158" w:type="dxa"/>
            <w:tcBorders>
              <w:top w:val="nil"/>
              <w:left w:val="nil"/>
              <w:bottom w:val="nil"/>
              <w:right w:val="nil"/>
            </w:tcBorders>
            <w:tcMar>
              <w:top w:w="11" w:type="dxa"/>
              <w:left w:w="11" w:type="dxa"/>
              <w:bottom w:w="0" w:type="dxa"/>
              <w:right w:w="11" w:type="dxa"/>
            </w:tcMar>
            <w:vAlign w:val="center"/>
            <w:hideMark/>
          </w:tcPr>
          <w:p w14:paraId="572BF100"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1.19 (0.84–1.68)</w:t>
            </w:r>
          </w:p>
        </w:tc>
        <w:tc>
          <w:tcPr>
            <w:tcW w:w="1097" w:type="dxa"/>
            <w:tcBorders>
              <w:top w:val="nil"/>
              <w:left w:val="nil"/>
              <w:bottom w:val="nil"/>
              <w:right w:val="nil"/>
            </w:tcBorders>
            <w:tcMar>
              <w:top w:w="11" w:type="dxa"/>
              <w:left w:w="11" w:type="dxa"/>
              <w:bottom w:w="0" w:type="dxa"/>
              <w:right w:w="11" w:type="dxa"/>
            </w:tcMar>
            <w:vAlign w:val="center"/>
            <w:hideMark/>
          </w:tcPr>
          <w:p w14:paraId="4BC978AC"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0.33</w:t>
            </w:r>
          </w:p>
        </w:tc>
        <w:tc>
          <w:tcPr>
            <w:tcW w:w="1810" w:type="dxa"/>
            <w:tcBorders>
              <w:top w:val="nil"/>
              <w:left w:val="nil"/>
              <w:bottom w:val="nil"/>
              <w:right w:val="nil"/>
            </w:tcBorders>
            <w:tcMar>
              <w:top w:w="11" w:type="dxa"/>
              <w:left w:w="11" w:type="dxa"/>
              <w:bottom w:w="0" w:type="dxa"/>
              <w:right w:w="11" w:type="dxa"/>
            </w:tcMar>
            <w:vAlign w:val="center"/>
            <w:hideMark/>
          </w:tcPr>
          <w:p w14:paraId="0B273900"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7AC278A8"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1.32 (0.83–2.09)</w:t>
            </w:r>
          </w:p>
        </w:tc>
        <w:tc>
          <w:tcPr>
            <w:tcW w:w="1114" w:type="dxa"/>
            <w:tcBorders>
              <w:top w:val="nil"/>
              <w:left w:val="nil"/>
              <w:bottom w:val="nil"/>
              <w:right w:val="nil"/>
            </w:tcBorders>
            <w:tcMar>
              <w:top w:w="11" w:type="dxa"/>
              <w:left w:w="11" w:type="dxa"/>
              <w:bottom w:w="0" w:type="dxa"/>
              <w:right w:w="11" w:type="dxa"/>
            </w:tcMar>
            <w:vAlign w:val="center"/>
            <w:hideMark/>
          </w:tcPr>
          <w:p w14:paraId="119BC610"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0.24</w:t>
            </w:r>
          </w:p>
        </w:tc>
      </w:tr>
      <w:tr w:rsidR="00A055ED" w:rsidRPr="00A055ED" w14:paraId="684B9076"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3A900186"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41973BC9"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61DD5A25"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Lung metastases</w:t>
            </w:r>
          </w:p>
        </w:tc>
        <w:tc>
          <w:tcPr>
            <w:tcW w:w="2158" w:type="dxa"/>
            <w:tcBorders>
              <w:top w:val="nil"/>
              <w:left w:val="nil"/>
              <w:bottom w:val="nil"/>
              <w:right w:val="nil"/>
            </w:tcBorders>
            <w:tcMar>
              <w:top w:w="11" w:type="dxa"/>
              <w:left w:w="11" w:type="dxa"/>
              <w:bottom w:w="0" w:type="dxa"/>
              <w:right w:w="11" w:type="dxa"/>
            </w:tcMar>
            <w:vAlign w:val="center"/>
            <w:hideMark/>
          </w:tcPr>
          <w:p w14:paraId="03D82C44"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0.74 (0.43–1.30)</w:t>
            </w:r>
          </w:p>
        </w:tc>
        <w:tc>
          <w:tcPr>
            <w:tcW w:w="1097" w:type="dxa"/>
            <w:tcBorders>
              <w:top w:val="nil"/>
              <w:left w:val="nil"/>
              <w:bottom w:val="nil"/>
              <w:right w:val="nil"/>
            </w:tcBorders>
            <w:tcMar>
              <w:top w:w="11" w:type="dxa"/>
              <w:left w:w="11" w:type="dxa"/>
              <w:bottom w:w="0" w:type="dxa"/>
              <w:right w:w="11" w:type="dxa"/>
            </w:tcMar>
            <w:vAlign w:val="center"/>
            <w:hideMark/>
          </w:tcPr>
          <w:p w14:paraId="1726D29F"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0.30</w:t>
            </w:r>
          </w:p>
        </w:tc>
        <w:tc>
          <w:tcPr>
            <w:tcW w:w="1810" w:type="dxa"/>
            <w:tcBorders>
              <w:top w:val="nil"/>
              <w:left w:val="nil"/>
              <w:bottom w:val="nil"/>
              <w:right w:val="nil"/>
            </w:tcBorders>
            <w:tcMar>
              <w:top w:w="11" w:type="dxa"/>
              <w:left w:w="11" w:type="dxa"/>
              <w:bottom w:w="0" w:type="dxa"/>
              <w:right w:w="11" w:type="dxa"/>
            </w:tcMar>
            <w:vAlign w:val="center"/>
            <w:hideMark/>
          </w:tcPr>
          <w:p w14:paraId="476ACDCA"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6765A8C7"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1.62 (0.88–2.99)</w:t>
            </w:r>
          </w:p>
        </w:tc>
        <w:tc>
          <w:tcPr>
            <w:tcW w:w="1114" w:type="dxa"/>
            <w:tcBorders>
              <w:top w:val="nil"/>
              <w:left w:val="nil"/>
              <w:bottom w:val="nil"/>
              <w:right w:val="nil"/>
            </w:tcBorders>
            <w:tcMar>
              <w:top w:w="11" w:type="dxa"/>
              <w:left w:w="11" w:type="dxa"/>
              <w:bottom w:w="0" w:type="dxa"/>
              <w:right w:w="11" w:type="dxa"/>
            </w:tcMar>
            <w:vAlign w:val="center"/>
            <w:hideMark/>
          </w:tcPr>
          <w:p w14:paraId="4208D7CC"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0.12</w:t>
            </w:r>
          </w:p>
        </w:tc>
      </w:tr>
      <w:tr w:rsidR="00A055ED" w:rsidRPr="00A055ED" w14:paraId="5ADAF1B4"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35F1F987"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1EFE70C9"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2239801A"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Liver metastases</w:t>
            </w:r>
          </w:p>
        </w:tc>
        <w:tc>
          <w:tcPr>
            <w:tcW w:w="2158" w:type="dxa"/>
            <w:tcBorders>
              <w:top w:val="nil"/>
              <w:left w:val="nil"/>
              <w:bottom w:val="nil"/>
              <w:right w:val="nil"/>
            </w:tcBorders>
            <w:tcMar>
              <w:top w:w="11" w:type="dxa"/>
              <w:left w:w="11" w:type="dxa"/>
              <w:bottom w:w="0" w:type="dxa"/>
              <w:right w:w="11" w:type="dxa"/>
            </w:tcMar>
            <w:vAlign w:val="center"/>
            <w:hideMark/>
          </w:tcPr>
          <w:p w14:paraId="12F417F3"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2.30 (0.86–6.19)</w:t>
            </w:r>
          </w:p>
        </w:tc>
        <w:tc>
          <w:tcPr>
            <w:tcW w:w="1097" w:type="dxa"/>
            <w:tcBorders>
              <w:top w:val="nil"/>
              <w:left w:val="nil"/>
              <w:bottom w:val="nil"/>
              <w:right w:val="nil"/>
            </w:tcBorders>
            <w:tcMar>
              <w:top w:w="11" w:type="dxa"/>
              <w:left w:w="11" w:type="dxa"/>
              <w:bottom w:w="0" w:type="dxa"/>
              <w:right w:w="11" w:type="dxa"/>
            </w:tcMar>
            <w:vAlign w:val="center"/>
            <w:hideMark/>
          </w:tcPr>
          <w:p w14:paraId="39478917"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0.10</w:t>
            </w:r>
          </w:p>
        </w:tc>
        <w:tc>
          <w:tcPr>
            <w:tcW w:w="1810" w:type="dxa"/>
            <w:tcBorders>
              <w:top w:val="nil"/>
              <w:left w:val="nil"/>
              <w:bottom w:val="nil"/>
              <w:right w:val="nil"/>
            </w:tcBorders>
            <w:tcMar>
              <w:top w:w="11" w:type="dxa"/>
              <w:left w:w="11" w:type="dxa"/>
              <w:bottom w:w="0" w:type="dxa"/>
              <w:right w:w="11" w:type="dxa"/>
            </w:tcMar>
            <w:vAlign w:val="center"/>
            <w:hideMark/>
          </w:tcPr>
          <w:p w14:paraId="0862F999"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580E0593"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1.19 (0.28–5.12)</w:t>
            </w:r>
          </w:p>
        </w:tc>
        <w:tc>
          <w:tcPr>
            <w:tcW w:w="1114" w:type="dxa"/>
            <w:tcBorders>
              <w:top w:val="nil"/>
              <w:left w:val="nil"/>
              <w:bottom w:val="nil"/>
              <w:right w:val="nil"/>
            </w:tcBorders>
            <w:tcMar>
              <w:top w:w="11" w:type="dxa"/>
              <w:left w:w="11" w:type="dxa"/>
              <w:bottom w:w="0" w:type="dxa"/>
              <w:right w:w="11" w:type="dxa"/>
            </w:tcMar>
            <w:vAlign w:val="center"/>
            <w:hideMark/>
          </w:tcPr>
          <w:p w14:paraId="2CF8AB93"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0.81</w:t>
            </w:r>
          </w:p>
        </w:tc>
      </w:tr>
      <w:tr w:rsidR="00A055ED" w:rsidRPr="00A055ED" w14:paraId="65CB4EB8"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1C777549"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2DDB44C4"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4FE9E579"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EOD (0-4)</w:t>
            </w:r>
          </w:p>
        </w:tc>
        <w:tc>
          <w:tcPr>
            <w:tcW w:w="2158" w:type="dxa"/>
            <w:tcBorders>
              <w:top w:val="nil"/>
              <w:left w:val="nil"/>
              <w:bottom w:val="nil"/>
              <w:right w:val="nil"/>
            </w:tcBorders>
            <w:tcMar>
              <w:top w:w="11" w:type="dxa"/>
              <w:left w:w="11" w:type="dxa"/>
              <w:bottom w:w="0" w:type="dxa"/>
              <w:right w:w="11" w:type="dxa"/>
            </w:tcMar>
            <w:vAlign w:val="center"/>
            <w:hideMark/>
          </w:tcPr>
          <w:p w14:paraId="5B153DBB"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1.37 (1.12–1.69)</w:t>
            </w:r>
          </w:p>
        </w:tc>
        <w:tc>
          <w:tcPr>
            <w:tcW w:w="1097" w:type="dxa"/>
            <w:tcBorders>
              <w:top w:val="nil"/>
              <w:left w:val="nil"/>
              <w:bottom w:val="nil"/>
              <w:right w:val="nil"/>
            </w:tcBorders>
            <w:tcMar>
              <w:top w:w="11" w:type="dxa"/>
              <w:left w:w="11" w:type="dxa"/>
              <w:bottom w:w="0" w:type="dxa"/>
              <w:right w:w="11" w:type="dxa"/>
            </w:tcMar>
            <w:vAlign w:val="center"/>
            <w:hideMark/>
          </w:tcPr>
          <w:p w14:paraId="58EE028D"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0.003</w:t>
            </w:r>
          </w:p>
        </w:tc>
        <w:tc>
          <w:tcPr>
            <w:tcW w:w="1810" w:type="dxa"/>
            <w:tcBorders>
              <w:top w:val="nil"/>
              <w:left w:val="nil"/>
              <w:bottom w:val="nil"/>
              <w:right w:val="nil"/>
            </w:tcBorders>
            <w:tcMar>
              <w:top w:w="11" w:type="dxa"/>
              <w:left w:w="11" w:type="dxa"/>
              <w:bottom w:w="0" w:type="dxa"/>
              <w:right w:w="11" w:type="dxa"/>
            </w:tcMar>
            <w:vAlign w:val="center"/>
            <w:hideMark/>
          </w:tcPr>
          <w:p w14:paraId="3DE4D056"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0E19496A"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0.85 (0.65–1.12)</w:t>
            </w:r>
          </w:p>
        </w:tc>
        <w:tc>
          <w:tcPr>
            <w:tcW w:w="1114" w:type="dxa"/>
            <w:tcBorders>
              <w:top w:val="nil"/>
              <w:left w:val="nil"/>
              <w:bottom w:val="nil"/>
              <w:right w:val="nil"/>
            </w:tcBorders>
            <w:tcMar>
              <w:top w:w="11" w:type="dxa"/>
              <w:left w:w="11" w:type="dxa"/>
              <w:bottom w:w="0" w:type="dxa"/>
              <w:right w:w="11" w:type="dxa"/>
            </w:tcMar>
            <w:vAlign w:val="center"/>
            <w:hideMark/>
          </w:tcPr>
          <w:p w14:paraId="7B2216A2"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0.26</w:t>
            </w:r>
          </w:p>
        </w:tc>
      </w:tr>
      <w:tr w:rsidR="00A055ED" w:rsidRPr="00A055ED" w14:paraId="053B65D8"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4397CB13"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315676C3"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5D16EF07"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CHAARTED high volume</w:t>
            </w:r>
          </w:p>
        </w:tc>
        <w:tc>
          <w:tcPr>
            <w:tcW w:w="2158" w:type="dxa"/>
            <w:tcBorders>
              <w:top w:val="nil"/>
              <w:left w:val="nil"/>
              <w:bottom w:val="nil"/>
              <w:right w:val="nil"/>
            </w:tcBorders>
            <w:tcMar>
              <w:top w:w="11" w:type="dxa"/>
              <w:left w:w="11" w:type="dxa"/>
              <w:bottom w:w="0" w:type="dxa"/>
              <w:right w:w="11" w:type="dxa"/>
            </w:tcMar>
            <w:vAlign w:val="center"/>
            <w:hideMark/>
          </w:tcPr>
          <w:p w14:paraId="53DCD7BA"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2.19 (1.12–4.29)</w:t>
            </w:r>
          </w:p>
        </w:tc>
        <w:tc>
          <w:tcPr>
            <w:tcW w:w="1097" w:type="dxa"/>
            <w:tcBorders>
              <w:top w:val="nil"/>
              <w:left w:val="nil"/>
              <w:bottom w:val="nil"/>
              <w:right w:val="nil"/>
            </w:tcBorders>
            <w:tcMar>
              <w:top w:w="11" w:type="dxa"/>
              <w:left w:w="11" w:type="dxa"/>
              <w:bottom w:w="0" w:type="dxa"/>
              <w:right w:w="11" w:type="dxa"/>
            </w:tcMar>
            <w:vAlign w:val="center"/>
            <w:hideMark/>
          </w:tcPr>
          <w:p w14:paraId="5A4CE1E5"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0.02</w:t>
            </w:r>
          </w:p>
        </w:tc>
        <w:tc>
          <w:tcPr>
            <w:tcW w:w="1810" w:type="dxa"/>
            <w:tcBorders>
              <w:top w:val="nil"/>
              <w:left w:val="nil"/>
              <w:bottom w:val="nil"/>
              <w:right w:val="nil"/>
            </w:tcBorders>
            <w:tcMar>
              <w:top w:w="11" w:type="dxa"/>
              <w:left w:w="11" w:type="dxa"/>
              <w:bottom w:w="0" w:type="dxa"/>
              <w:right w:w="11" w:type="dxa"/>
            </w:tcMar>
            <w:vAlign w:val="center"/>
            <w:hideMark/>
          </w:tcPr>
          <w:p w14:paraId="5282FA89"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05D24CA3"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0.92 (0.46–1.83)</w:t>
            </w:r>
          </w:p>
        </w:tc>
        <w:tc>
          <w:tcPr>
            <w:tcW w:w="1114" w:type="dxa"/>
            <w:tcBorders>
              <w:top w:val="nil"/>
              <w:left w:val="nil"/>
              <w:bottom w:val="nil"/>
              <w:right w:val="nil"/>
            </w:tcBorders>
            <w:tcMar>
              <w:top w:w="11" w:type="dxa"/>
              <w:left w:w="11" w:type="dxa"/>
              <w:bottom w:w="0" w:type="dxa"/>
              <w:right w:w="11" w:type="dxa"/>
            </w:tcMar>
            <w:vAlign w:val="center"/>
            <w:hideMark/>
          </w:tcPr>
          <w:p w14:paraId="6FD2CE25"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0.81</w:t>
            </w:r>
          </w:p>
        </w:tc>
      </w:tr>
      <w:tr w:rsidR="00A055ED" w:rsidRPr="00A055ED" w14:paraId="500C4776"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52BEC172"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7B10122B"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32960112"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PSA, ng/mL</w:t>
            </w:r>
          </w:p>
        </w:tc>
        <w:tc>
          <w:tcPr>
            <w:tcW w:w="2158" w:type="dxa"/>
            <w:tcBorders>
              <w:top w:val="nil"/>
              <w:left w:val="nil"/>
              <w:bottom w:val="nil"/>
              <w:right w:val="nil"/>
            </w:tcBorders>
            <w:tcMar>
              <w:top w:w="11" w:type="dxa"/>
              <w:left w:w="11" w:type="dxa"/>
              <w:bottom w:w="0" w:type="dxa"/>
              <w:right w:w="11" w:type="dxa"/>
            </w:tcMar>
            <w:vAlign w:val="center"/>
            <w:hideMark/>
          </w:tcPr>
          <w:p w14:paraId="3FB3D659"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1.00 (1.00–1.00)</w:t>
            </w:r>
          </w:p>
        </w:tc>
        <w:tc>
          <w:tcPr>
            <w:tcW w:w="1097" w:type="dxa"/>
            <w:tcBorders>
              <w:top w:val="nil"/>
              <w:left w:val="nil"/>
              <w:bottom w:val="nil"/>
              <w:right w:val="nil"/>
            </w:tcBorders>
            <w:tcMar>
              <w:top w:w="11" w:type="dxa"/>
              <w:left w:w="11" w:type="dxa"/>
              <w:bottom w:w="0" w:type="dxa"/>
              <w:right w:w="11" w:type="dxa"/>
            </w:tcMar>
            <w:vAlign w:val="center"/>
            <w:hideMark/>
          </w:tcPr>
          <w:p w14:paraId="7132E0C2"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0.61</w:t>
            </w:r>
          </w:p>
        </w:tc>
        <w:tc>
          <w:tcPr>
            <w:tcW w:w="1810" w:type="dxa"/>
            <w:tcBorders>
              <w:top w:val="nil"/>
              <w:left w:val="nil"/>
              <w:bottom w:val="nil"/>
              <w:right w:val="nil"/>
            </w:tcBorders>
            <w:tcMar>
              <w:top w:w="11" w:type="dxa"/>
              <w:left w:w="11" w:type="dxa"/>
              <w:bottom w:w="0" w:type="dxa"/>
              <w:right w:w="11" w:type="dxa"/>
            </w:tcMar>
            <w:vAlign w:val="center"/>
            <w:hideMark/>
          </w:tcPr>
          <w:p w14:paraId="47E556CE"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443FFF11"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1.00 (1.00–1.00)</w:t>
            </w:r>
          </w:p>
        </w:tc>
        <w:tc>
          <w:tcPr>
            <w:tcW w:w="1114" w:type="dxa"/>
            <w:tcBorders>
              <w:top w:val="nil"/>
              <w:left w:val="nil"/>
              <w:bottom w:val="nil"/>
              <w:right w:val="nil"/>
            </w:tcBorders>
            <w:tcMar>
              <w:top w:w="11" w:type="dxa"/>
              <w:left w:w="11" w:type="dxa"/>
              <w:bottom w:w="0" w:type="dxa"/>
              <w:right w:w="11" w:type="dxa"/>
            </w:tcMar>
            <w:vAlign w:val="center"/>
            <w:hideMark/>
          </w:tcPr>
          <w:p w14:paraId="66290E08"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0.62</w:t>
            </w:r>
          </w:p>
        </w:tc>
      </w:tr>
      <w:tr w:rsidR="00A055ED" w:rsidRPr="00A055ED" w14:paraId="027C310A" w14:textId="77777777" w:rsidTr="00A055ED">
        <w:trPr>
          <w:trHeight w:val="363"/>
        </w:trPr>
        <w:tc>
          <w:tcPr>
            <w:tcW w:w="1827" w:type="dxa"/>
            <w:tcBorders>
              <w:top w:val="nil"/>
              <w:left w:val="nil"/>
              <w:bottom w:val="single" w:sz="4" w:space="0" w:color="000000"/>
              <w:right w:val="nil"/>
            </w:tcBorders>
            <w:tcMar>
              <w:top w:w="11" w:type="dxa"/>
              <w:left w:w="11" w:type="dxa"/>
              <w:bottom w:w="0" w:type="dxa"/>
              <w:right w:w="11" w:type="dxa"/>
            </w:tcMar>
            <w:vAlign w:val="center"/>
            <w:hideMark/>
          </w:tcPr>
          <w:p w14:paraId="021E4BB1"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single" w:sz="4" w:space="0" w:color="000000"/>
              <w:right w:val="nil"/>
            </w:tcBorders>
            <w:tcMar>
              <w:top w:w="11" w:type="dxa"/>
              <w:left w:w="11" w:type="dxa"/>
              <w:bottom w:w="0" w:type="dxa"/>
              <w:right w:w="11" w:type="dxa"/>
            </w:tcMar>
            <w:vAlign w:val="center"/>
            <w:hideMark/>
          </w:tcPr>
          <w:p w14:paraId="5F4A8643"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single" w:sz="4" w:space="0" w:color="000000"/>
              <w:right w:val="nil"/>
            </w:tcBorders>
            <w:tcMar>
              <w:top w:w="11" w:type="dxa"/>
              <w:left w:w="11" w:type="dxa"/>
              <w:bottom w:w="0" w:type="dxa"/>
              <w:right w:w="11" w:type="dxa"/>
            </w:tcMar>
            <w:vAlign w:val="center"/>
            <w:hideMark/>
          </w:tcPr>
          <w:p w14:paraId="490DA4B0"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Hemoglobin, g/dL</w:t>
            </w:r>
          </w:p>
        </w:tc>
        <w:tc>
          <w:tcPr>
            <w:tcW w:w="2158" w:type="dxa"/>
            <w:tcBorders>
              <w:top w:val="nil"/>
              <w:left w:val="nil"/>
              <w:bottom w:val="single" w:sz="4" w:space="0" w:color="000000"/>
              <w:right w:val="nil"/>
            </w:tcBorders>
            <w:tcMar>
              <w:top w:w="11" w:type="dxa"/>
              <w:left w:w="11" w:type="dxa"/>
              <w:bottom w:w="0" w:type="dxa"/>
              <w:right w:w="11" w:type="dxa"/>
            </w:tcMar>
            <w:vAlign w:val="center"/>
            <w:hideMark/>
          </w:tcPr>
          <w:p w14:paraId="2B73D772"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0.94 (0.86–1.03)</w:t>
            </w:r>
          </w:p>
        </w:tc>
        <w:tc>
          <w:tcPr>
            <w:tcW w:w="1097" w:type="dxa"/>
            <w:tcBorders>
              <w:top w:val="nil"/>
              <w:left w:val="nil"/>
              <w:bottom w:val="single" w:sz="4" w:space="0" w:color="000000"/>
              <w:right w:val="nil"/>
            </w:tcBorders>
            <w:tcMar>
              <w:top w:w="11" w:type="dxa"/>
              <w:left w:w="11" w:type="dxa"/>
              <w:bottom w:w="0" w:type="dxa"/>
              <w:right w:w="11" w:type="dxa"/>
            </w:tcMar>
            <w:vAlign w:val="center"/>
            <w:hideMark/>
          </w:tcPr>
          <w:p w14:paraId="161CEC49"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0.17</w:t>
            </w:r>
          </w:p>
        </w:tc>
        <w:tc>
          <w:tcPr>
            <w:tcW w:w="1810" w:type="dxa"/>
            <w:tcBorders>
              <w:top w:val="nil"/>
              <w:left w:val="nil"/>
              <w:bottom w:val="single" w:sz="4" w:space="0" w:color="000000"/>
              <w:right w:val="nil"/>
            </w:tcBorders>
            <w:tcMar>
              <w:top w:w="11" w:type="dxa"/>
              <w:left w:w="11" w:type="dxa"/>
              <w:bottom w:w="0" w:type="dxa"/>
              <w:right w:w="11" w:type="dxa"/>
            </w:tcMar>
            <w:vAlign w:val="center"/>
            <w:hideMark/>
          </w:tcPr>
          <w:p w14:paraId="6EA16503"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single" w:sz="4" w:space="0" w:color="000000"/>
              <w:right w:val="nil"/>
            </w:tcBorders>
            <w:tcMar>
              <w:top w:w="11" w:type="dxa"/>
              <w:left w:w="11" w:type="dxa"/>
              <w:bottom w:w="0" w:type="dxa"/>
              <w:right w:w="11" w:type="dxa"/>
            </w:tcMar>
            <w:vAlign w:val="center"/>
            <w:hideMark/>
          </w:tcPr>
          <w:p w14:paraId="40AD22A5"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0.84 (0.76–0.93)</w:t>
            </w:r>
          </w:p>
        </w:tc>
        <w:tc>
          <w:tcPr>
            <w:tcW w:w="1114" w:type="dxa"/>
            <w:tcBorders>
              <w:top w:val="nil"/>
              <w:left w:val="nil"/>
              <w:bottom w:val="single" w:sz="4" w:space="0" w:color="000000"/>
              <w:right w:val="nil"/>
            </w:tcBorders>
            <w:tcMar>
              <w:top w:w="11" w:type="dxa"/>
              <w:left w:w="11" w:type="dxa"/>
              <w:bottom w:w="0" w:type="dxa"/>
              <w:right w:w="11" w:type="dxa"/>
            </w:tcMar>
            <w:vAlign w:val="center"/>
            <w:hideMark/>
          </w:tcPr>
          <w:p w14:paraId="4D16E5D6"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&lt;0.001</w:t>
            </w:r>
          </w:p>
        </w:tc>
      </w:tr>
      <w:tr w:rsidR="00A055ED" w:rsidRPr="00A055ED" w14:paraId="158FB1F4" w14:textId="77777777" w:rsidTr="00A055ED">
        <w:trPr>
          <w:trHeight w:val="363"/>
        </w:trPr>
        <w:tc>
          <w:tcPr>
            <w:tcW w:w="1827"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71720E7E"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b/>
                <w:bCs/>
                <w:szCs w:val="21"/>
              </w:rPr>
              <w:t>Age subgroup</w:t>
            </w:r>
          </w:p>
        </w:tc>
        <w:tc>
          <w:tcPr>
            <w:tcW w:w="1252"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3FA2EB04"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b/>
                <w:bCs/>
                <w:szCs w:val="21"/>
              </w:rPr>
              <w:t>Outcome</w:t>
            </w:r>
          </w:p>
        </w:tc>
        <w:tc>
          <w:tcPr>
            <w:tcW w:w="2959"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681ED0F1"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b/>
                <w:bCs/>
                <w:szCs w:val="21"/>
              </w:rPr>
              <w:t>Variable</w:t>
            </w:r>
          </w:p>
        </w:tc>
        <w:tc>
          <w:tcPr>
            <w:tcW w:w="2158"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01429B40" w14:textId="77777777" w:rsidR="00A055ED" w:rsidRPr="00A055ED" w:rsidRDefault="00A055ED" w:rsidP="00A055ED">
            <w:pPr>
              <w:jc w:val="center"/>
              <w:rPr>
                <w:rFonts w:ascii="Times New Roman" w:hAnsi="Times New Roman" w:cs="Times New Roman"/>
                <w:szCs w:val="21"/>
              </w:rPr>
            </w:pPr>
            <w:proofErr w:type="spellStart"/>
            <w:r w:rsidRPr="00A055ED">
              <w:rPr>
                <w:rFonts w:ascii="Times New Roman" w:hAnsi="Times New Roman" w:cs="Times New Roman"/>
                <w:b/>
                <w:bCs/>
                <w:szCs w:val="21"/>
              </w:rPr>
              <w:t>sHR</w:t>
            </w:r>
            <w:proofErr w:type="spellEnd"/>
            <w:r w:rsidRPr="00A055ED">
              <w:rPr>
                <w:rFonts w:ascii="Times New Roman" w:hAnsi="Times New Roman" w:cs="Times New Roman"/>
                <w:b/>
                <w:bCs/>
                <w:szCs w:val="21"/>
              </w:rPr>
              <w:t xml:space="preserve"> (95% CI)</w:t>
            </w:r>
          </w:p>
        </w:tc>
        <w:tc>
          <w:tcPr>
            <w:tcW w:w="1097"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734A96BA"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b/>
                <w:bCs/>
                <w:szCs w:val="21"/>
              </w:rPr>
              <w:t>P value</w:t>
            </w:r>
          </w:p>
        </w:tc>
        <w:tc>
          <w:tcPr>
            <w:tcW w:w="1810"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0F854B6B"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b/>
                <w:bCs/>
                <w:szCs w:val="21"/>
              </w:rPr>
              <w:t>Outcome</w:t>
            </w:r>
          </w:p>
        </w:tc>
        <w:tc>
          <w:tcPr>
            <w:tcW w:w="2158"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07AB11D4" w14:textId="77777777" w:rsidR="00A055ED" w:rsidRPr="00A055ED" w:rsidRDefault="00A055ED" w:rsidP="00A055ED">
            <w:pPr>
              <w:jc w:val="center"/>
              <w:rPr>
                <w:rFonts w:ascii="Times New Roman" w:hAnsi="Times New Roman" w:cs="Times New Roman"/>
                <w:szCs w:val="21"/>
              </w:rPr>
            </w:pPr>
            <w:proofErr w:type="spellStart"/>
            <w:r w:rsidRPr="00A055ED">
              <w:rPr>
                <w:rFonts w:ascii="Times New Roman" w:hAnsi="Times New Roman" w:cs="Times New Roman"/>
                <w:b/>
                <w:bCs/>
                <w:szCs w:val="21"/>
              </w:rPr>
              <w:t>sHR</w:t>
            </w:r>
            <w:proofErr w:type="spellEnd"/>
            <w:r w:rsidRPr="00A055ED">
              <w:rPr>
                <w:rFonts w:ascii="Times New Roman" w:hAnsi="Times New Roman" w:cs="Times New Roman"/>
                <w:b/>
                <w:bCs/>
                <w:szCs w:val="21"/>
              </w:rPr>
              <w:t xml:space="preserve"> (95% CI)</w:t>
            </w:r>
          </w:p>
        </w:tc>
        <w:tc>
          <w:tcPr>
            <w:tcW w:w="1114" w:type="dxa"/>
            <w:tcBorders>
              <w:top w:val="single" w:sz="4" w:space="0" w:color="000000"/>
              <w:left w:val="nil"/>
              <w:bottom w:val="single" w:sz="4" w:space="0" w:color="000000"/>
              <w:right w:val="nil"/>
            </w:tcBorders>
            <w:tcMar>
              <w:top w:w="11" w:type="dxa"/>
              <w:left w:w="11" w:type="dxa"/>
              <w:bottom w:w="0" w:type="dxa"/>
              <w:right w:w="11" w:type="dxa"/>
            </w:tcMar>
            <w:vAlign w:val="center"/>
            <w:hideMark/>
          </w:tcPr>
          <w:p w14:paraId="48D7B035"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b/>
                <w:bCs/>
                <w:szCs w:val="21"/>
              </w:rPr>
              <w:t>P value</w:t>
            </w:r>
          </w:p>
        </w:tc>
      </w:tr>
      <w:tr w:rsidR="00A055ED" w:rsidRPr="00A055ED" w14:paraId="29AB7D65" w14:textId="77777777" w:rsidTr="00A055ED">
        <w:trPr>
          <w:trHeight w:val="363"/>
        </w:trPr>
        <w:tc>
          <w:tcPr>
            <w:tcW w:w="1827" w:type="dxa"/>
            <w:tcBorders>
              <w:top w:val="single" w:sz="4" w:space="0" w:color="000000"/>
              <w:left w:val="nil"/>
              <w:bottom w:val="nil"/>
              <w:right w:val="nil"/>
            </w:tcBorders>
            <w:tcMar>
              <w:top w:w="11" w:type="dxa"/>
              <w:left w:w="11" w:type="dxa"/>
              <w:bottom w:w="0" w:type="dxa"/>
              <w:right w:w="11" w:type="dxa"/>
            </w:tcMar>
            <w:vAlign w:val="center"/>
            <w:hideMark/>
          </w:tcPr>
          <w:p w14:paraId="44AAA92B"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≥80 years</w:t>
            </w:r>
          </w:p>
        </w:tc>
        <w:tc>
          <w:tcPr>
            <w:tcW w:w="1252" w:type="dxa"/>
            <w:tcBorders>
              <w:top w:val="single" w:sz="4" w:space="0" w:color="000000"/>
              <w:left w:val="nil"/>
              <w:bottom w:val="nil"/>
              <w:right w:val="nil"/>
            </w:tcBorders>
            <w:tcMar>
              <w:top w:w="11" w:type="dxa"/>
              <w:left w:w="11" w:type="dxa"/>
              <w:bottom w:w="0" w:type="dxa"/>
              <w:right w:w="11" w:type="dxa"/>
            </w:tcMar>
            <w:vAlign w:val="center"/>
            <w:hideMark/>
          </w:tcPr>
          <w:p w14:paraId="6228B40E"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PC death</w:t>
            </w:r>
          </w:p>
        </w:tc>
        <w:tc>
          <w:tcPr>
            <w:tcW w:w="2959" w:type="dxa"/>
            <w:tcBorders>
              <w:top w:val="single" w:sz="4" w:space="0" w:color="000000"/>
              <w:left w:val="nil"/>
              <w:bottom w:val="nil"/>
              <w:right w:val="nil"/>
            </w:tcBorders>
            <w:tcMar>
              <w:top w:w="11" w:type="dxa"/>
              <w:left w:w="11" w:type="dxa"/>
              <w:bottom w:w="0" w:type="dxa"/>
              <w:right w:w="11" w:type="dxa"/>
            </w:tcMar>
            <w:vAlign w:val="center"/>
            <w:hideMark/>
          </w:tcPr>
          <w:p w14:paraId="4E906A55"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Upfront treatment</w:t>
            </w:r>
          </w:p>
        </w:tc>
        <w:tc>
          <w:tcPr>
            <w:tcW w:w="2158" w:type="dxa"/>
            <w:tcBorders>
              <w:top w:val="single" w:sz="4" w:space="0" w:color="000000"/>
              <w:left w:val="nil"/>
              <w:bottom w:val="nil"/>
              <w:right w:val="nil"/>
            </w:tcBorders>
            <w:tcMar>
              <w:top w:w="11" w:type="dxa"/>
              <w:left w:w="11" w:type="dxa"/>
              <w:bottom w:w="0" w:type="dxa"/>
              <w:right w:w="11" w:type="dxa"/>
            </w:tcMar>
            <w:vAlign w:val="center"/>
            <w:hideMark/>
          </w:tcPr>
          <w:p w14:paraId="154C1247"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0.78 (0.45–1.36)</w:t>
            </w:r>
          </w:p>
        </w:tc>
        <w:tc>
          <w:tcPr>
            <w:tcW w:w="1097" w:type="dxa"/>
            <w:tcBorders>
              <w:top w:val="single" w:sz="4" w:space="0" w:color="000000"/>
              <w:left w:val="nil"/>
              <w:bottom w:val="nil"/>
              <w:right w:val="nil"/>
            </w:tcBorders>
            <w:tcMar>
              <w:top w:w="11" w:type="dxa"/>
              <w:left w:w="11" w:type="dxa"/>
              <w:bottom w:w="0" w:type="dxa"/>
              <w:right w:w="11" w:type="dxa"/>
            </w:tcMar>
            <w:vAlign w:val="center"/>
            <w:hideMark/>
          </w:tcPr>
          <w:p w14:paraId="2265E7A4"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0.38</w:t>
            </w:r>
          </w:p>
        </w:tc>
        <w:tc>
          <w:tcPr>
            <w:tcW w:w="1810" w:type="dxa"/>
            <w:tcBorders>
              <w:top w:val="single" w:sz="4" w:space="0" w:color="000000"/>
              <w:left w:val="nil"/>
              <w:bottom w:val="nil"/>
              <w:right w:val="nil"/>
            </w:tcBorders>
            <w:tcMar>
              <w:top w:w="11" w:type="dxa"/>
              <w:left w:w="11" w:type="dxa"/>
              <w:bottom w:w="0" w:type="dxa"/>
              <w:right w:w="11" w:type="dxa"/>
            </w:tcMar>
            <w:vAlign w:val="center"/>
            <w:hideMark/>
          </w:tcPr>
          <w:p w14:paraId="3A743ABF"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Non-PC death</w:t>
            </w:r>
          </w:p>
        </w:tc>
        <w:tc>
          <w:tcPr>
            <w:tcW w:w="2158" w:type="dxa"/>
            <w:tcBorders>
              <w:top w:val="single" w:sz="4" w:space="0" w:color="000000"/>
              <w:left w:val="nil"/>
              <w:bottom w:val="nil"/>
              <w:right w:val="nil"/>
            </w:tcBorders>
            <w:tcMar>
              <w:top w:w="11" w:type="dxa"/>
              <w:left w:w="11" w:type="dxa"/>
              <w:bottom w:w="0" w:type="dxa"/>
              <w:right w:w="11" w:type="dxa"/>
            </w:tcMar>
            <w:vAlign w:val="center"/>
            <w:hideMark/>
          </w:tcPr>
          <w:p w14:paraId="17FE85C2"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1.17 (0.61–2.21)</w:t>
            </w:r>
          </w:p>
        </w:tc>
        <w:tc>
          <w:tcPr>
            <w:tcW w:w="1114" w:type="dxa"/>
            <w:tcBorders>
              <w:top w:val="single" w:sz="4" w:space="0" w:color="000000"/>
              <w:left w:val="nil"/>
              <w:bottom w:val="nil"/>
              <w:right w:val="nil"/>
            </w:tcBorders>
            <w:tcMar>
              <w:top w:w="11" w:type="dxa"/>
              <w:left w:w="11" w:type="dxa"/>
              <w:bottom w:w="0" w:type="dxa"/>
              <w:right w:w="11" w:type="dxa"/>
            </w:tcMar>
            <w:vAlign w:val="center"/>
            <w:hideMark/>
          </w:tcPr>
          <w:p w14:paraId="1A5E2B30"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0.64</w:t>
            </w:r>
          </w:p>
        </w:tc>
      </w:tr>
      <w:tr w:rsidR="00A055ED" w:rsidRPr="00A055ED" w14:paraId="620C3092"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32F664EF"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318AE51D"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38845D88"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Age, years</w:t>
            </w:r>
          </w:p>
        </w:tc>
        <w:tc>
          <w:tcPr>
            <w:tcW w:w="2158" w:type="dxa"/>
            <w:tcBorders>
              <w:top w:val="nil"/>
              <w:left w:val="nil"/>
              <w:bottom w:val="nil"/>
              <w:right w:val="nil"/>
            </w:tcBorders>
            <w:tcMar>
              <w:top w:w="11" w:type="dxa"/>
              <w:left w:w="11" w:type="dxa"/>
              <w:bottom w:w="0" w:type="dxa"/>
              <w:right w:w="11" w:type="dxa"/>
            </w:tcMar>
            <w:vAlign w:val="center"/>
            <w:hideMark/>
          </w:tcPr>
          <w:p w14:paraId="4904F5A2"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1.17 (1.06–1.30)</w:t>
            </w:r>
          </w:p>
        </w:tc>
        <w:tc>
          <w:tcPr>
            <w:tcW w:w="1097" w:type="dxa"/>
            <w:tcBorders>
              <w:top w:val="nil"/>
              <w:left w:val="nil"/>
              <w:bottom w:val="nil"/>
              <w:right w:val="nil"/>
            </w:tcBorders>
            <w:tcMar>
              <w:top w:w="11" w:type="dxa"/>
              <w:left w:w="11" w:type="dxa"/>
              <w:bottom w:w="0" w:type="dxa"/>
              <w:right w:w="11" w:type="dxa"/>
            </w:tcMar>
            <w:vAlign w:val="center"/>
            <w:hideMark/>
          </w:tcPr>
          <w:p w14:paraId="5E502FC7"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0.002</w:t>
            </w:r>
          </w:p>
        </w:tc>
        <w:tc>
          <w:tcPr>
            <w:tcW w:w="1810" w:type="dxa"/>
            <w:tcBorders>
              <w:top w:val="nil"/>
              <w:left w:val="nil"/>
              <w:bottom w:val="nil"/>
              <w:right w:val="nil"/>
            </w:tcBorders>
            <w:tcMar>
              <w:top w:w="11" w:type="dxa"/>
              <w:left w:w="11" w:type="dxa"/>
              <w:bottom w:w="0" w:type="dxa"/>
              <w:right w:w="11" w:type="dxa"/>
            </w:tcMar>
            <w:vAlign w:val="center"/>
            <w:hideMark/>
          </w:tcPr>
          <w:p w14:paraId="4545BCA9"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1F63714B"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1.00 (0.91–1.09)</w:t>
            </w:r>
          </w:p>
        </w:tc>
        <w:tc>
          <w:tcPr>
            <w:tcW w:w="1114" w:type="dxa"/>
            <w:tcBorders>
              <w:top w:val="nil"/>
              <w:left w:val="nil"/>
              <w:bottom w:val="nil"/>
              <w:right w:val="nil"/>
            </w:tcBorders>
            <w:tcMar>
              <w:top w:w="11" w:type="dxa"/>
              <w:left w:w="11" w:type="dxa"/>
              <w:bottom w:w="0" w:type="dxa"/>
              <w:right w:w="11" w:type="dxa"/>
            </w:tcMar>
            <w:vAlign w:val="center"/>
            <w:hideMark/>
          </w:tcPr>
          <w:p w14:paraId="44FE122D"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0.96</w:t>
            </w:r>
          </w:p>
        </w:tc>
      </w:tr>
      <w:tr w:rsidR="00A055ED" w:rsidRPr="00A055ED" w14:paraId="7340E164"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08B04448"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6D383F91"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21EB8D79"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ECOG PS (0-4)</w:t>
            </w:r>
          </w:p>
        </w:tc>
        <w:tc>
          <w:tcPr>
            <w:tcW w:w="2158" w:type="dxa"/>
            <w:tcBorders>
              <w:top w:val="nil"/>
              <w:left w:val="nil"/>
              <w:bottom w:val="nil"/>
              <w:right w:val="nil"/>
            </w:tcBorders>
            <w:tcMar>
              <w:top w:w="11" w:type="dxa"/>
              <w:left w:w="11" w:type="dxa"/>
              <w:bottom w:w="0" w:type="dxa"/>
              <w:right w:w="11" w:type="dxa"/>
            </w:tcMar>
            <w:vAlign w:val="center"/>
            <w:hideMark/>
          </w:tcPr>
          <w:p w14:paraId="649F0EBB"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0.96 (0.69–1.32)</w:t>
            </w:r>
          </w:p>
        </w:tc>
        <w:tc>
          <w:tcPr>
            <w:tcW w:w="1097" w:type="dxa"/>
            <w:tcBorders>
              <w:top w:val="nil"/>
              <w:left w:val="nil"/>
              <w:bottom w:val="nil"/>
              <w:right w:val="nil"/>
            </w:tcBorders>
            <w:tcMar>
              <w:top w:w="11" w:type="dxa"/>
              <w:left w:w="11" w:type="dxa"/>
              <w:bottom w:w="0" w:type="dxa"/>
              <w:right w:w="11" w:type="dxa"/>
            </w:tcMar>
            <w:vAlign w:val="center"/>
            <w:hideMark/>
          </w:tcPr>
          <w:p w14:paraId="4505097B"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0.79</w:t>
            </w:r>
          </w:p>
        </w:tc>
        <w:tc>
          <w:tcPr>
            <w:tcW w:w="1810" w:type="dxa"/>
            <w:tcBorders>
              <w:top w:val="nil"/>
              <w:left w:val="nil"/>
              <w:bottom w:val="nil"/>
              <w:right w:val="nil"/>
            </w:tcBorders>
            <w:tcMar>
              <w:top w:w="11" w:type="dxa"/>
              <w:left w:w="11" w:type="dxa"/>
              <w:bottom w:w="0" w:type="dxa"/>
              <w:right w:w="11" w:type="dxa"/>
            </w:tcMar>
            <w:vAlign w:val="center"/>
            <w:hideMark/>
          </w:tcPr>
          <w:p w14:paraId="6D497C96"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373D7C94"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1.45 (1.07–1.97)</w:t>
            </w:r>
          </w:p>
        </w:tc>
        <w:tc>
          <w:tcPr>
            <w:tcW w:w="1114" w:type="dxa"/>
            <w:tcBorders>
              <w:top w:val="nil"/>
              <w:left w:val="nil"/>
              <w:bottom w:val="nil"/>
              <w:right w:val="nil"/>
            </w:tcBorders>
            <w:tcMar>
              <w:top w:w="11" w:type="dxa"/>
              <w:left w:w="11" w:type="dxa"/>
              <w:bottom w:w="0" w:type="dxa"/>
              <w:right w:w="11" w:type="dxa"/>
            </w:tcMar>
            <w:vAlign w:val="center"/>
            <w:hideMark/>
          </w:tcPr>
          <w:p w14:paraId="4CE11DCB"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0.02</w:t>
            </w:r>
          </w:p>
        </w:tc>
      </w:tr>
      <w:tr w:rsidR="00A055ED" w:rsidRPr="00A055ED" w14:paraId="19EF6C3F"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1B13A1B5"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5B2F5147"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414DF74C"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Total Gleason score</w:t>
            </w:r>
          </w:p>
        </w:tc>
        <w:tc>
          <w:tcPr>
            <w:tcW w:w="2158" w:type="dxa"/>
            <w:tcBorders>
              <w:top w:val="nil"/>
              <w:left w:val="nil"/>
              <w:bottom w:val="nil"/>
              <w:right w:val="nil"/>
            </w:tcBorders>
            <w:tcMar>
              <w:top w:w="11" w:type="dxa"/>
              <w:left w:w="11" w:type="dxa"/>
              <w:bottom w:w="0" w:type="dxa"/>
              <w:right w:w="11" w:type="dxa"/>
            </w:tcMar>
            <w:vAlign w:val="center"/>
            <w:hideMark/>
          </w:tcPr>
          <w:p w14:paraId="6714E4AA"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1.08 (0.73–1.58)</w:t>
            </w:r>
          </w:p>
        </w:tc>
        <w:tc>
          <w:tcPr>
            <w:tcW w:w="1097" w:type="dxa"/>
            <w:tcBorders>
              <w:top w:val="nil"/>
              <w:left w:val="nil"/>
              <w:bottom w:val="nil"/>
              <w:right w:val="nil"/>
            </w:tcBorders>
            <w:tcMar>
              <w:top w:w="11" w:type="dxa"/>
              <w:left w:w="11" w:type="dxa"/>
              <w:bottom w:w="0" w:type="dxa"/>
              <w:right w:w="11" w:type="dxa"/>
            </w:tcMar>
            <w:vAlign w:val="center"/>
            <w:hideMark/>
          </w:tcPr>
          <w:p w14:paraId="27954798"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0.71</w:t>
            </w:r>
          </w:p>
        </w:tc>
        <w:tc>
          <w:tcPr>
            <w:tcW w:w="1810" w:type="dxa"/>
            <w:tcBorders>
              <w:top w:val="nil"/>
              <w:left w:val="nil"/>
              <w:bottom w:val="nil"/>
              <w:right w:val="nil"/>
            </w:tcBorders>
            <w:tcMar>
              <w:top w:w="11" w:type="dxa"/>
              <w:left w:w="11" w:type="dxa"/>
              <w:bottom w:w="0" w:type="dxa"/>
              <w:right w:w="11" w:type="dxa"/>
            </w:tcMar>
            <w:vAlign w:val="center"/>
            <w:hideMark/>
          </w:tcPr>
          <w:p w14:paraId="24E85309"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7FC63850"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0.99 (0.68–1.45)</w:t>
            </w:r>
          </w:p>
        </w:tc>
        <w:tc>
          <w:tcPr>
            <w:tcW w:w="1114" w:type="dxa"/>
            <w:tcBorders>
              <w:top w:val="nil"/>
              <w:left w:val="nil"/>
              <w:bottom w:val="nil"/>
              <w:right w:val="nil"/>
            </w:tcBorders>
            <w:tcMar>
              <w:top w:w="11" w:type="dxa"/>
              <w:left w:w="11" w:type="dxa"/>
              <w:bottom w:w="0" w:type="dxa"/>
              <w:right w:w="11" w:type="dxa"/>
            </w:tcMar>
            <w:vAlign w:val="center"/>
            <w:hideMark/>
          </w:tcPr>
          <w:p w14:paraId="726B502B"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0.96</w:t>
            </w:r>
          </w:p>
        </w:tc>
      </w:tr>
      <w:tr w:rsidR="00A055ED" w:rsidRPr="00A055ED" w14:paraId="03F4207E"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111872A6"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71F301E6"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129CCC38"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Bone metastases</w:t>
            </w:r>
          </w:p>
        </w:tc>
        <w:tc>
          <w:tcPr>
            <w:tcW w:w="2158" w:type="dxa"/>
            <w:tcBorders>
              <w:top w:val="nil"/>
              <w:left w:val="nil"/>
              <w:bottom w:val="nil"/>
              <w:right w:val="nil"/>
            </w:tcBorders>
            <w:tcMar>
              <w:top w:w="11" w:type="dxa"/>
              <w:left w:w="11" w:type="dxa"/>
              <w:bottom w:w="0" w:type="dxa"/>
              <w:right w:w="11" w:type="dxa"/>
            </w:tcMar>
            <w:vAlign w:val="center"/>
            <w:hideMark/>
          </w:tcPr>
          <w:p w14:paraId="245336F8"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0.45 (0.10–2.04)</w:t>
            </w:r>
          </w:p>
        </w:tc>
        <w:tc>
          <w:tcPr>
            <w:tcW w:w="1097" w:type="dxa"/>
            <w:tcBorders>
              <w:top w:val="nil"/>
              <w:left w:val="nil"/>
              <w:bottom w:val="nil"/>
              <w:right w:val="nil"/>
            </w:tcBorders>
            <w:tcMar>
              <w:top w:w="11" w:type="dxa"/>
              <w:left w:w="11" w:type="dxa"/>
              <w:bottom w:w="0" w:type="dxa"/>
              <w:right w:w="11" w:type="dxa"/>
            </w:tcMar>
            <w:vAlign w:val="center"/>
            <w:hideMark/>
          </w:tcPr>
          <w:p w14:paraId="27708B88"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0.30</w:t>
            </w:r>
          </w:p>
        </w:tc>
        <w:tc>
          <w:tcPr>
            <w:tcW w:w="1810" w:type="dxa"/>
            <w:tcBorders>
              <w:top w:val="nil"/>
              <w:left w:val="nil"/>
              <w:bottom w:val="nil"/>
              <w:right w:val="nil"/>
            </w:tcBorders>
            <w:tcMar>
              <w:top w:w="11" w:type="dxa"/>
              <w:left w:w="11" w:type="dxa"/>
              <w:bottom w:w="0" w:type="dxa"/>
              <w:right w:w="11" w:type="dxa"/>
            </w:tcMar>
            <w:vAlign w:val="center"/>
            <w:hideMark/>
          </w:tcPr>
          <w:p w14:paraId="23A5A62B"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24E47738"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0.92 (0.28–3.10)</w:t>
            </w:r>
          </w:p>
        </w:tc>
        <w:tc>
          <w:tcPr>
            <w:tcW w:w="1114" w:type="dxa"/>
            <w:tcBorders>
              <w:top w:val="nil"/>
              <w:left w:val="nil"/>
              <w:bottom w:val="nil"/>
              <w:right w:val="nil"/>
            </w:tcBorders>
            <w:tcMar>
              <w:top w:w="11" w:type="dxa"/>
              <w:left w:w="11" w:type="dxa"/>
              <w:bottom w:w="0" w:type="dxa"/>
              <w:right w:w="11" w:type="dxa"/>
            </w:tcMar>
            <w:vAlign w:val="center"/>
            <w:hideMark/>
          </w:tcPr>
          <w:p w14:paraId="6BBE70A3"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0.90</w:t>
            </w:r>
          </w:p>
        </w:tc>
      </w:tr>
      <w:tr w:rsidR="00A055ED" w:rsidRPr="00A055ED" w14:paraId="72D4F969"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478F3E3E"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5D539A67"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6B573F00"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Lymph node metastases</w:t>
            </w:r>
          </w:p>
        </w:tc>
        <w:tc>
          <w:tcPr>
            <w:tcW w:w="2158" w:type="dxa"/>
            <w:tcBorders>
              <w:top w:val="nil"/>
              <w:left w:val="nil"/>
              <w:bottom w:val="nil"/>
              <w:right w:val="nil"/>
            </w:tcBorders>
            <w:tcMar>
              <w:top w:w="11" w:type="dxa"/>
              <w:left w:w="11" w:type="dxa"/>
              <w:bottom w:w="0" w:type="dxa"/>
              <w:right w:w="11" w:type="dxa"/>
            </w:tcMar>
            <w:vAlign w:val="center"/>
            <w:hideMark/>
          </w:tcPr>
          <w:p w14:paraId="0D18DE2F"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1.88 (1.08–3.28)</w:t>
            </w:r>
          </w:p>
        </w:tc>
        <w:tc>
          <w:tcPr>
            <w:tcW w:w="1097" w:type="dxa"/>
            <w:tcBorders>
              <w:top w:val="nil"/>
              <w:left w:val="nil"/>
              <w:bottom w:val="nil"/>
              <w:right w:val="nil"/>
            </w:tcBorders>
            <w:tcMar>
              <w:top w:w="11" w:type="dxa"/>
              <w:left w:w="11" w:type="dxa"/>
              <w:bottom w:w="0" w:type="dxa"/>
              <w:right w:w="11" w:type="dxa"/>
            </w:tcMar>
            <w:vAlign w:val="center"/>
            <w:hideMark/>
          </w:tcPr>
          <w:p w14:paraId="0E107C3B"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0.03</w:t>
            </w:r>
          </w:p>
        </w:tc>
        <w:tc>
          <w:tcPr>
            <w:tcW w:w="1810" w:type="dxa"/>
            <w:tcBorders>
              <w:top w:val="nil"/>
              <w:left w:val="nil"/>
              <w:bottom w:val="nil"/>
              <w:right w:val="nil"/>
            </w:tcBorders>
            <w:tcMar>
              <w:top w:w="11" w:type="dxa"/>
              <w:left w:w="11" w:type="dxa"/>
              <w:bottom w:w="0" w:type="dxa"/>
              <w:right w:w="11" w:type="dxa"/>
            </w:tcMar>
            <w:vAlign w:val="center"/>
            <w:hideMark/>
          </w:tcPr>
          <w:p w14:paraId="297A9E07"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600D4E07"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1.05 (0.56–1.96)</w:t>
            </w:r>
          </w:p>
        </w:tc>
        <w:tc>
          <w:tcPr>
            <w:tcW w:w="1114" w:type="dxa"/>
            <w:tcBorders>
              <w:top w:val="nil"/>
              <w:left w:val="nil"/>
              <w:bottom w:val="nil"/>
              <w:right w:val="nil"/>
            </w:tcBorders>
            <w:tcMar>
              <w:top w:w="11" w:type="dxa"/>
              <w:left w:w="11" w:type="dxa"/>
              <w:bottom w:w="0" w:type="dxa"/>
              <w:right w:w="11" w:type="dxa"/>
            </w:tcMar>
            <w:vAlign w:val="center"/>
            <w:hideMark/>
          </w:tcPr>
          <w:p w14:paraId="79775A6D"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0.88</w:t>
            </w:r>
          </w:p>
        </w:tc>
      </w:tr>
      <w:tr w:rsidR="00A055ED" w:rsidRPr="00A055ED" w14:paraId="453F5A6E"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6F712E0C"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64007AC4"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0172AD83"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Lung metastases</w:t>
            </w:r>
          </w:p>
        </w:tc>
        <w:tc>
          <w:tcPr>
            <w:tcW w:w="2158" w:type="dxa"/>
            <w:tcBorders>
              <w:top w:val="nil"/>
              <w:left w:val="nil"/>
              <w:bottom w:val="nil"/>
              <w:right w:val="nil"/>
            </w:tcBorders>
            <w:tcMar>
              <w:top w:w="11" w:type="dxa"/>
              <w:left w:w="11" w:type="dxa"/>
              <w:bottom w:w="0" w:type="dxa"/>
              <w:right w:w="11" w:type="dxa"/>
            </w:tcMar>
            <w:vAlign w:val="center"/>
            <w:hideMark/>
          </w:tcPr>
          <w:p w14:paraId="27773B2E"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0.73 (0.32–1.68)</w:t>
            </w:r>
          </w:p>
        </w:tc>
        <w:tc>
          <w:tcPr>
            <w:tcW w:w="1097" w:type="dxa"/>
            <w:tcBorders>
              <w:top w:val="nil"/>
              <w:left w:val="nil"/>
              <w:bottom w:val="nil"/>
              <w:right w:val="nil"/>
            </w:tcBorders>
            <w:tcMar>
              <w:top w:w="11" w:type="dxa"/>
              <w:left w:w="11" w:type="dxa"/>
              <w:bottom w:w="0" w:type="dxa"/>
              <w:right w:w="11" w:type="dxa"/>
            </w:tcMar>
            <w:vAlign w:val="center"/>
            <w:hideMark/>
          </w:tcPr>
          <w:p w14:paraId="24261D38"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0.47</w:t>
            </w:r>
          </w:p>
        </w:tc>
        <w:tc>
          <w:tcPr>
            <w:tcW w:w="1810" w:type="dxa"/>
            <w:tcBorders>
              <w:top w:val="nil"/>
              <w:left w:val="nil"/>
              <w:bottom w:val="nil"/>
              <w:right w:val="nil"/>
            </w:tcBorders>
            <w:tcMar>
              <w:top w:w="11" w:type="dxa"/>
              <w:left w:w="11" w:type="dxa"/>
              <w:bottom w:w="0" w:type="dxa"/>
              <w:right w:w="11" w:type="dxa"/>
            </w:tcMar>
            <w:vAlign w:val="center"/>
            <w:hideMark/>
          </w:tcPr>
          <w:p w14:paraId="653BB396"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3E657991"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1.64 (0.69–3.87)</w:t>
            </w:r>
          </w:p>
        </w:tc>
        <w:tc>
          <w:tcPr>
            <w:tcW w:w="1114" w:type="dxa"/>
            <w:tcBorders>
              <w:top w:val="nil"/>
              <w:left w:val="nil"/>
              <w:bottom w:val="nil"/>
              <w:right w:val="nil"/>
            </w:tcBorders>
            <w:tcMar>
              <w:top w:w="11" w:type="dxa"/>
              <w:left w:w="11" w:type="dxa"/>
              <w:bottom w:w="0" w:type="dxa"/>
              <w:right w:w="11" w:type="dxa"/>
            </w:tcMar>
            <w:vAlign w:val="center"/>
            <w:hideMark/>
          </w:tcPr>
          <w:p w14:paraId="55F57967"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0.26</w:t>
            </w:r>
          </w:p>
        </w:tc>
      </w:tr>
      <w:tr w:rsidR="00A055ED" w:rsidRPr="00A055ED" w14:paraId="4CB9DE23"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2A7D0B06"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1A1CAF96"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5988CF21"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Liver metastases</w:t>
            </w:r>
          </w:p>
        </w:tc>
        <w:tc>
          <w:tcPr>
            <w:tcW w:w="2158" w:type="dxa"/>
            <w:tcBorders>
              <w:top w:val="nil"/>
              <w:left w:val="nil"/>
              <w:bottom w:val="nil"/>
              <w:right w:val="nil"/>
            </w:tcBorders>
            <w:tcMar>
              <w:top w:w="11" w:type="dxa"/>
              <w:left w:w="11" w:type="dxa"/>
              <w:bottom w:w="0" w:type="dxa"/>
              <w:right w:w="11" w:type="dxa"/>
            </w:tcMar>
            <w:vAlign w:val="center"/>
            <w:hideMark/>
          </w:tcPr>
          <w:p w14:paraId="707F0352"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5.88 (1.30–26.5)</w:t>
            </w:r>
          </w:p>
        </w:tc>
        <w:tc>
          <w:tcPr>
            <w:tcW w:w="1097" w:type="dxa"/>
            <w:tcBorders>
              <w:top w:val="nil"/>
              <w:left w:val="nil"/>
              <w:bottom w:val="nil"/>
              <w:right w:val="nil"/>
            </w:tcBorders>
            <w:tcMar>
              <w:top w:w="11" w:type="dxa"/>
              <w:left w:w="11" w:type="dxa"/>
              <w:bottom w:w="0" w:type="dxa"/>
              <w:right w:w="11" w:type="dxa"/>
            </w:tcMar>
            <w:vAlign w:val="center"/>
            <w:hideMark/>
          </w:tcPr>
          <w:p w14:paraId="53AF54ED"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0.02</w:t>
            </w:r>
          </w:p>
        </w:tc>
        <w:tc>
          <w:tcPr>
            <w:tcW w:w="1810" w:type="dxa"/>
            <w:tcBorders>
              <w:top w:val="nil"/>
              <w:left w:val="nil"/>
              <w:bottom w:val="nil"/>
              <w:right w:val="nil"/>
            </w:tcBorders>
            <w:tcMar>
              <w:top w:w="11" w:type="dxa"/>
              <w:left w:w="11" w:type="dxa"/>
              <w:bottom w:w="0" w:type="dxa"/>
              <w:right w:w="11" w:type="dxa"/>
            </w:tcMar>
            <w:vAlign w:val="center"/>
            <w:hideMark/>
          </w:tcPr>
          <w:p w14:paraId="0859F6EC"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7E6261A5"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1.00 (0.11–9.33)</w:t>
            </w:r>
          </w:p>
        </w:tc>
        <w:tc>
          <w:tcPr>
            <w:tcW w:w="1114" w:type="dxa"/>
            <w:tcBorders>
              <w:top w:val="nil"/>
              <w:left w:val="nil"/>
              <w:bottom w:val="nil"/>
              <w:right w:val="nil"/>
            </w:tcBorders>
            <w:tcMar>
              <w:top w:w="11" w:type="dxa"/>
              <w:left w:w="11" w:type="dxa"/>
              <w:bottom w:w="0" w:type="dxa"/>
              <w:right w:w="11" w:type="dxa"/>
            </w:tcMar>
            <w:vAlign w:val="center"/>
            <w:hideMark/>
          </w:tcPr>
          <w:p w14:paraId="1F48F3B3"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1.00</w:t>
            </w:r>
          </w:p>
        </w:tc>
      </w:tr>
      <w:tr w:rsidR="00A055ED" w:rsidRPr="00A055ED" w14:paraId="3DC85606"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118BC2D4"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39BDF7E3"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47DB9422"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EOD (0-4)</w:t>
            </w:r>
          </w:p>
        </w:tc>
        <w:tc>
          <w:tcPr>
            <w:tcW w:w="2158" w:type="dxa"/>
            <w:tcBorders>
              <w:top w:val="nil"/>
              <w:left w:val="nil"/>
              <w:bottom w:val="nil"/>
              <w:right w:val="nil"/>
            </w:tcBorders>
            <w:tcMar>
              <w:top w:w="11" w:type="dxa"/>
              <w:left w:w="11" w:type="dxa"/>
              <w:bottom w:w="0" w:type="dxa"/>
              <w:right w:w="11" w:type="dxa"/>
            </w:tcMar>
            <w:vAlign w:val="center"/>
            <w:hideMark/>
          </w:tcPr>
          <w:p w14:paraId="4DCEBFEE"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1.85 (1.26–2.71)</w:t>
            </w:r>
          </w:p>
        </w:tc>
        <w:tc>
          <w:tcPr>
            <w:tcW w:w="1097" w:type="dxa"/>
            <w:tcBorders>
              <w:top w:val="nil"/>
              <w:left w:val="nil"/>
              <w:bottom w:val="nil"/>
              <w:right w:val="nil"/>
            </w:tcBorders>
            <w:tcMar>
              <w:top w:w="11" w:type="dxa"/>
              <w:left w:w="11" w:type="dxa"/>
              <w:bottom w:w="0" w:type="dxa"/>
              <w:right w:w="11" w:type="dxa"/>
            </w:tcMar>
            <w:vAlign w:val="center"/>
            <w:hideMark/>
          </w:tcPr>
          <w:p w14:paraId="0FA5F6AA"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0.002</w:t>
            </w:r>
          </w:p>
        </w:tc>
        <w:tc>
          <w:tcPr>
            <w:tcW w:w="1810" w:type="dxa"/>
            <w:tcBorders>
              <w:top w:val="nil"/>
              <w:left w:val="nil"/>
              <w:bottom w:val="nil"/>
              <w:right w:val="nil"/>
            </w:tcBorders>
            <w:tcMar>
              <w:top w:w="11" w:type="dxa"/>
              <w:left w:w="11" w:type="dxa"/>
              <w:bottom w:w="0" w:type="dxa"/>
              <w:right w:w="11" w:type="dxa"/>
            </w:tcMar>
            <w:vAlign w:val="center"/>
            <w:hideMark/>
          </w:tcPr>
          <w:p w14:paraId="6CF48C21"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7CB0CCEA"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0.77 (0.53–1.12)</w:t>
            </w:r>
          </w:p>
        </w:tc>
        <w:tc>
          <w:tcPr>
            <w:tcW w:w="1114" w:type="dxa"/>
            <w:tcBorders>
              <w:top w:val="nil"/>
              <w:left w:val="nil"/>
              <w:bottom w:val="nil"/>
              <w:right w:val="nil"/>
            </w:tcBorders>
            <w:tcMar>
              <w:top w:w="11" w:type="dxa"/>
              <w:left w:w="11" w:type="dxa"/>
              <w:bottom w:w="0" w:type="dxa"/>
              <w:right w:w="11" w:type="dxa"/>
            </w:tcMar>
            <w:vAlign w:val="center"/>
            <w:hideMark/>
          </w:tcPr>
          <w:p w14:paraId="25B221D3"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0.17</w:t>
            </w:r>
          </w:p>
        </w:tc>
      </w:tr>
      <w:tr w:rsidR="00A055ED" w:rsidRPr="00A055ED" w14:paraId="49B1E2E5"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4998EAC3"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0A7318BB"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7C8861E5"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CHAARTED high volume</w:t>
            </w:r>
          </w:p>
        </w:tc>
        <w:tc>
          <w:tcPr>
            <w:tcW w:w="2158" w:type="dxa"/>
            <w:tcBorders>
              <w:top w:val="nil"/>
              <w:left w:val="nil"/>
              <w:bottom w:val="nil"/>
              <w:right w:val="nil"/>
            </w:tcBorders>
            <w:tcMar>
              <w:top w:w="11" w:type="dxa"/>
              <w:left w:w="11" w:type="dxa"/>
              <w:bottom w:w="0" w:type="dxa"/>
              <w:right w:w="11" w:type="dxa"/>
            </w:tcMar>
            <w:vAlign w:val="center"/>
            <w:hideMark/>
          </w:tcPr>
          <w:p w14:paraId="17209597"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0.91 (0.38–2.21)</w:t>
            </w:r>
          </w:p>
        </w:tc>
        <w:tc>
          <w:tcPr>
            <w:tcW w:w="1097" w:type="dxa"/>
            <w:tcBorders>
              <w:top w:val="nil"/>
              <w:left w:val="nil"/>
              <w:bottom w:val="nil"/>
              <w:right w:val="nil"/>
            </w:tcBorders>
            <w:tcMar>
              <w:top w:w="11" w:type="dxa"/>
              <w:left w:w="11" w:type="dxa"/>
              <w:bottom w:w="0" w:type="dxa"/>
              <w:right w:w="11" w:type="dxa"/>
            </w:tcMar>
            <w:vAlign w:val="center"/>
            <w:hideMark/>
          </w:tcPr>
          <w:p w14:paraId="58177E06"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0.84</w:t>
            </w:r>
          </w:p>
        </w:tc>
        <w:tc>
          <w:tcPr>
            <w:tcW w:w="1810" w:type="dxa"/>
            <w:tcBorders>
              <w:top w:val="nil"/>
              <w:left w:val="nil"/>
              <w:bottom w:val="nil"/>
              <w:right w:val="nil"/>
            </w:tcBorders>
            <w:tcMar>
              <w:top w:w="11" w:type="dxa"/>
              <w:left w:w="11" w:type="dxa"/>
              <w:bottom w:w="0" w:type="dxa"/>
              <w:right w:w="11" w:type="dxa"/>
            </w:tcMar>
            <w:vAlign w:val="center"/>
            <w:hideMark/>
          </w:tcPr>
          <w:p w14:paraId="184A808D"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7D3268ED"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1.51 (0.63–3.59)</w:t>
            </w:r>
          </w:p>
        </w:tc>
        <w:tc>
          <w:tcPr>
            <w:tcW w:w="1114" w:type="dxa"/>
            <w:tcBorders>
              <w:top w:val="nil"/>
              <w:left w:val="nil"/>
              <w:bottom w:val="nil"/>
              <w:right w:val="nil"/>
            </w:tcBorders>
            <w:tcMar>
              <w:top w:w="11" w:type="dxa"/>
              <w:left w:w="11" w:type="dxa"/>
              <w:bottom w:w="0" w:type="dxa"/>
              <w:right w:w="11" w:type="dxa"/>
            </w:tcMar>
            <w:vAlign w:val="center"/>
            <w:hideMark/>
          </w:tcPr>
          <w:p w14:paraId="11F045C9"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0.35</w:t>
            </w:r>
          </w:p>
        </w:tc>
      </w:tr>
      <w:tr w:rsidR="00A055ED" w:rsidRPr="00A055ED" w14:paraId="56E46DE2" w14:textId="77777777" w:rsidTr="00A055ED">
        <w:trPr>
          <w:trHeight w:val="363"/>
        </w:trPr>
        <w:tc>
          <w:tcPr>
            <w:tcW w:w="1827" w:type="dxa"/>
            <w:tcBorders>
              <w:top w:val="nil"/>
              <w:left w:val="nil"/>
              <w:bottom w:val="nil"/>
              <w:right w:val="nil"/>
            </w:tcBorders>
            <w:tcMar>
              <w:top w:w="11" w:type="dxa"/>
              <w:left w:w="11" w:type="dxa"/>
              <w:bottom w:w="0" w:type="dxa"/>
              <w:right w:w="11" w:type="dxa"/>
            </w:tcMar>
            <w:vAlign w:val="center"/>
            <w:hideMark/>
          </w:tcPr>
          <w:p w14:paraId="485A51D8" w14:textId="77777777" w:rsidR="00A055ED" w:rsidRPr="00A055ED" w:rsidRDefault="00A055ED" w:rsidP="00A055ED">
            <w:pPr>
              <w:rPr>
                <w:rFonts w:ascii="Times New Roman" w:hAnsi="Times New Roman" w:cs="Times New Roman"/>
                <w:szCs w:val="21"/>
              </w:rPr>
            </w:pPr>
          </w:p>
        </w:tc>
        <w:tc>
          <w:tcPr>
            <w:tcW w:w="1252" w:type="dxa"/>
            <w:tcBorders>
              <w:top w:val="nil"/>
              <w:left w:val="nil"/>
              <w:bottom w:val="nil"/>
              <w:right w:val="nil"/>
            </w:tcBorders>
            <w:tcMar>
              <w:top w:w="11" w:type="dxa"/>
              <w:left w:w="11" w:type="dxa"/>
              <w:bottom w:w="0" w:type="dxa"/>
              <w:right w:w="11" w:type="dxa"/>
            </w:tcMar>
            <w:vAlign w:val="center"/>
            <w:hideMark/>
          </w:tcPr>
          <w:p w14:paraId="4C029F77" w14:textId="77777777" w:rsidR="00A055ED" w:rsidRPr="00A055ED" w:rsidRDefault="00A055ED" w:rsidP="00A055ED">
            <w:pPr>
              <w:rPr>
                <w:rFonts w:ascii="Times New Roman" w:hAnsi="Times New Roman" w:cs="Times New Roman"/>
                <w:szCs w:val="21"/>
              </w:rPr>
            </w:pPr>
          </w:p>
        </w:tc>
        <w:tc>
          <w:tcPr>
            <w:tcW w:w="2959" w:type="dxa"/>
            <w:tcBorders>
              <w:top w:val="nil"/>
              <w:left w:val="nil"/>
              <w:bottom w:val="nil"/>
              <w:right w:val="nil"/>
            </w:tcBorders>
            <w:tcMar>
              <w:top w:w="11" w:type="dxa"/>
              <w:left w:w="11" w:type="dxa"/>
              <w:bottom w:w="0" w:type="dxa"/>
              <w:right w:w="11" w:type="dxa"/>
            </w:tcMar>
            <w:vAlign w:val="center"/>
            <w:hideMark/>
          </w:tcPr>
          <w:p w14:paraId="1BAC6376"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PSA, ng/mL</w:t>
            </w:r>
          </w:p>
        </w:tc>
        <w:tc>
          <w:tcPr>
            <w:tcW w:w="2158" w:type="dxa"/>
            <w:tcBorders>
              <w:top w:val="nil"/>
              <w:left w:val="nil"/>
              <w:bottom w:val="nil"/>
              <w:right w:val="nil"/>
            </w:tcBorders>
            <w:tcMar>
              <w:top w:w="11" w:type="dxa"/>
              <w:left w:w="11" w:type="dxa"/>
              <w:bottom w:w="0" w:type="dxa"/>
              <w:right w:w="11" w:type="dxa"/>
            </w:tcMar>
            <w:vAlign w:val="center"/>
            <w:hideMark/>
          </w:tcPr>
          <w:p w14:paraId="3F70676E"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1.00 (1.00–1.00)</w:t>
            </w:r>
          </w:p>
        </w:tc>
        <w:tc>
          <w:tcPr>
            <w:tcW w:w="1097" w:type="dxa"/>
            <w:tcBorders>
              <w:top w:val="nil"/>
              <w:left w:val="nil"/>
              <w:bottom w:val="nil"/>
              <w:right w:val="nil"/>
            </w:tcBorders>
            <w:tcMar>
              <w:top w:w="11" w:type="dxa"/>
              <w:left w:w="11" w:type="dxa"/>
              <w:bottom w:w="0" w:type="dxa"/>
              <w:right w:w="11" w:type="dxa"/>
            </w:tcMar>
            <w:vAlign w:val="center"/>
            <w:hideMark/>
          </w:tcPr>
          <w:p w14:paraId="563CBE54"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0.38</w:t>
            </w:r>
          </w:p>
        </w:tc>
        <w:tc>
          <w:tcPr>
            <w:tcW w:w="1810" w:type="dxa"/>
            <w:tcBorders>
              <w:top w:val="nil"/>
              <w:left w:val="nil"/>
              <w:bottom w:val="nil"/>
              <w:right w:val="nil"/>
            </w:tcBorders>
            <w:tcMar>
              <w:top w:w="11" w:type="dxa"/>
              <w:left w:w="11" w:type="dxa"/>
              <w:bottom w:w="0" w:type="dxa"/>
              <w:right w:w="11" w:type="dxa"/>
            </w:tcMar>
            <w:vAlign w:val="center"/>
            <w:hideMark/>
          </w:tcPr>
          <w:p w14:paraId="735E6E69" w14:textId="77777777" w:rsidR="00A055ED" w:rsidRPr="00A055ED" w:rsidRDefault="00A055ED" w:rsidP="00A055ED">
            <w:pPr>
              <w:jc w:val="center"/>
              <w:rPr>
                <w:rFonts w:ascii="Times New Roman" w:hAnsi="Times New Roman" w:cs="Times New Roman"/>
                <w:szCs w:val="21"/>
              </w:rPr>
            </w:pPr>
          </w:p>
        </w:tc>
        <w:tc>
          <w:tcPr>
            <w:tcW w:w="2158" w:type="dxa"/>
            <w:tcBorders>
              <w:top w:val="nil"/>
              <w:left w:val="nil"/>
              <w:bottom w:val="nil"/>
              <w:right w:val="nil"/>
            </w:tcBorders>
            <w:tcMar>
              <w:top w:w="11" w:type="dxa"/>
              <w:left w:w="11" w:type="dxa"/>
              <w:bottom w:w="0" w:type="dxa"/>
              <w:right w:w="11" w:type="dxa"/>
            </w:tcMar>
            <w:vAlign w:val="center"/>
            <w:hideMark/>
          </w:tcPr>
          <w:p w14:paraId="08BEA071"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1.00 (1.00–1.00)</w:t>
            </w:r>
          </w:p>
        </w:tc>
        <w:tc>
          <w:tcPr>
            <w:tcW w:w="1114" w:type="dxa"/>
            <w:tcBorders>
              <w:top w:val="nil"/>
              <w:left w:val="nil"/>
              <w:bottom w:val="nil"/>
              <w:right w:val="nil"/>
            </w:tcBorders>
            <w:tcMar>
              <w:top w:w="11" w:type="dxa"/>
              <w:left w:w="11" w:type="dxa"/>
              <w:bottom w:w="0" w:type="dxa"/>
              <w:right w:w="11" w:type="dxa"/>
            </w:tcMar>
            <w:vAlign w:val="center"/>
            <w:hideMark/>
          </w:tcPr>
          <w:p w14:paraId="141DD0EA"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0.50</w:t>
            </w:r>
          </w:p>
        </w:tc>
      </w:tr>
      <w:tr w:rsidR="00A055ED" w:rsidRPr="00A055ED" w14:paraId="4428FA89" w14:textId="77777777" w:rsidTr="00A055ED">
        <w:trPr>
          <w:trHeight w:val="363"/>
        </w:trPr>
        <w:tc>
          <w:tcPr>
            <w:tcW w:w="1827" w:type="dxa"/>
            <w:tcBorders>
              <w:top w:val="nil"/>
              <w:left w:val="nil"/>
              <w:bottom w:val="single" w:sz="4" w:space="0" w:color="000000"/>
              <w:right w:val="nil"/>
            </w:tcBorders>
            <w:tcMar>
              <w:top w:w="11" w:type="dxa"/>
              <w:left w:w="11" w:type="dxa"/>
              <w:bottom w:w="0" w:type="dxa"/>
              <w:right w:w="11" w:type="dxa"/>
            </w:tcMar>
            <w:vAlign w:val="center"/>
            <w:hideMark/>
          </w:tcPr>
          <w:p w14:paraId="14585EE1"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 xml:space="preserve">　</w:t>
            </w:r>
          </w:p>
        </w:tc>
        <w:tc>
          <w:tcPr>
            <w:tcW w:w="1252" w:type="dxa"/>
            <w:tcBorders>
              <w:top w:val="nil"/>
              <w:left w:val="nil"/>
              <w:bottom w:val="single" w:sz="4" w:space="0" w:color="000000"/>
              <w:right w:val="nil"/>
            </w:tcBorders>
            <w:tcMar>
              <w:top w:w="11" w:type="dxa"/>
              <w:left w:w="11" w:type="dxa"/>
              <w:bottom w:w="0" w:type="dxa"/>
              <w:right w:w="11" w:type="dxa"/>
            </w:tcMar>
            <w:vAlign w:val="center"/>
            <w:hideMark/>
          </w:tcPr>
          <w:p w14:paraId="1D3CA72C"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 xml:space="preserve">　</w:t>
            </w:r>
          </w:p>
        </w:tc>
        <w:tc>
          <w:tcPr>
            <w:tcW w:w="2959" w:type="dxa"/>
            <w:tcBorders>
              <w:top w:val="nil"/>
              <w:left w:val="nil"/>
              <w:bottom w:val="single" w:sz="4" w:space="0" w:color="000000"/>
              <w:right w:val="nil"/>
            </w:tcBorders>
            <w:tcMar>
              <w:top w:w="11" w:type="dxa"/>
              <w:left w:w="11" w:type="dxa"/>
              <w:bottom w:w="0" w:type="dxa"/>
              <w:right w:w="11" w:type="dxa"/>
            </w:tcMar>
            <w:vAlign w:val="center"/>
            <w:hideMark/>
          </w:tcPr>
          <w:p w14:paraId="3AE5F6C3" w14:textId="77777777" w:rsidR="00A055ED" w:rsidRPr="00A055ED" w:rsidRDefault="00A055ED" w:rsidP="00A055ED">
            <w:pPr>
              <w:rPr>
                <w:rFonts w:ascii="Times New Roman" w:hAnsi="Times New Roman" w:cs="Times New Roman"/>
                <w:szCs w:val="21"/>
              </w:rPr>
            </w:pPr>
            <w:r w:rsidRPr="00A055ED">
              <w:rPr>
                <w:rFonts w:ascii="Times New Roman" w:hAnsi="Times New Roman" w:cs="Times New Roman"/>
                <w:szCs w:val="21"/>
              </w:rPr>
              <w:t>Hemoglobin, g/dL</w:t>
            </w:r>
          </w:p>
        </w:tc>
        <w:tc>
          <w:tcPr>
            <w:tcW w:w="2158" w:type="dxa"/>
            <w:tcBorders>
              <w:top w:val="nil"/>
              <w:left w:val="nil"/>
              <w:bottom w:val="single" w:sz="4" w:space="0" w:color="000000"/>
              <w:right w:val="nil"/>
            </w:tcBorders>
            <w:tcMar>
              <w:top w:w="11" w:type="dxa"/>
              <w:left w:w="11" w:type="dxa"/>
              <w:bottom w:w="0" w:type="dxa"/>
              <w:right w:w="11" w:type="dxa"/>
            </w:tcMar>
            <w:vAlign w:val="center"/>
            <w:hideMark/>
          </w:tcPr>
          <w:p w14:paraId="23385E06"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0.96 (0.85–1.07)</w:t>
            </w:r>
          </w:p>
        </w:tc>
        <w:tc>
          <w:tcPr>
            <w:tcW w:w="1097" w:type="dxa"/>
            <w:tcBorders>
              <w:top w:val="nil"/>
              <w:left w:val="nil"/>
              <w:bottom w:val="single" w:sz="4" w:space="0" w:color="000000"/>
              <w:right w:val="nil"/>
            </w:tcBorders>
            <w:tcMar>
              <w:top w:w="11" w:type="dxa"/>
              <w:left w:w="11" w:type="dxa"/>
              <w:bottom w:w="0" w:type="dxa"/>
              <w:right w:w="11" w:type="dxa"/>
            </w:tcMar>
            <w:vAlign w:val="center"/>
            <w:hideMark/>
          </w:tcPr>
          <w:p w14:paraId="447BD516"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0.45</w:t>
            </w:r>
          </w:p>
        </w:tc>
        <w:tc>
          <w:tcPr>
            <w:tcW w:w="1810" w:type="dxa"/>
            <w:tcBorders>
              <w:top w:val="nil"/>
              <w:left w:val="nil"/>
              <w:bottom w:val="single" w:sz="4" w:space="0" w:color="000000"/>
              <w:right w:val="nil"/>
            </w:tcBorders>
            <w:tcMar>
              <w:top w:w="11" w:type="dxa"/>
              <w:left w:w="11" w:type="dxa"/>
              <w:bottom w:w="0" w:type="dxa"/>
              <w:right w:w="11" w:type="dxa"/>
            </w:tcMar>
            <w:vAlign w:val="center"/>
            <w:hideMark/>
          </w:tcPr>
          <w:p w14:paraId="5DAA7CB7" w14:textId="53E95722" w:rsidR="00A055ED" w:rsidRPr="00A055ED" w:rsidRDefault="00A055ED" w:rsidP="00A055ED">
            <w:pPr>
              <w:jc w:val="center"/>
              <w:rPr>
                <w:rFonts w:ascii="Times New Roman" w:hAnsi="Times New Roman" w:cs="Times New Roman"/>
                <w:szCs w:val="21"/>
              </w:rPr>
            </w:pPr>
          </w:p>
        </w:tc>
        <w:tc>
          <w:tcPr>
            <w:tcW w:w="2158" w:type="dxa"/>
            <w:tcBorders>
              <w:top w:val="nil"/>
              <w:left w:val="nil"/>
              <w:bottom w:val="single" w:sz="4" w:space="0" w:color="000000"/>
              <w:right w:val="nil"/>
            </w:tcBorders>
            <w:tcMar>
              <w:top w:w="11" w:type="dxa"/>
              <w:left w:w="11" w:type="dxa"/>
              <w:bottom w:w="0" w:type="dxa"/>
              <w:right w:w="11" w:type="dxa"/>
            </w:tcMar>
            <w:vAlign w:val="center"/>
            <w:hideMark/>
          </w:tcPr>
          <w:p w14:paraId="707F5C82"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0.80 (0.70–0.91)</w:t>
            </w:r>
          </w:p>
        </w:tc>
        <w:tc>
          <w:tcPr>
            <w:tcW w:w="1114" w:type="dxa"/>
            <w:tcBorders>
              <w:top w:val="nil"/>
              <w:left w:val="nil"/>
              <w:bottom w:val="single" w:sz="4" w:space="0" w:color="000000"/>
              <w:right w:val="nil"/>
            </w:tcBorders>
            <w:tcMar>
              <w:top w:w="11" w:type="dxa"/>
              <w:left w:w="11" w:type="dxa"/>
              <w:bottom w:w="0" w:type="dxa"/>
              <w:right w:w="11" w:type="dxa"/>
            </w:tcMar>
            <w:vAlign w:val="center"/>
            <w:hideMark/>
          </w:tcPr>
          <w:p w14:paraId="610CD3DF" w14:textId="77777777" w:rsidR="00A055ED" w:rsidRPr="00A055ED" w:rsidRDefault="00A055ED" w:rsidP="00A055ED">
            <w:pPr>
              <w:jc w:val="center"/>
              <w:rPr>
                <w:rFonts w:ascii="Times New Roman" w:hAnsi="Times New Roman" w:cs="Times New Roman"/>
                <w:szCs w:val="21"/>
              </w:rPr>
            </w:pPr>
            <w:r w:rsidRPr="00A055ED">
              <w:rPr>
                <w:rFonts w:ascii="Times New Roman" w:hAnsi="Times New Roman" w:cs="Times New Roman"/>
                <w:szCs w:val="21"/>
              </w:rPr>
              <w:t>&lt;0.001</w:t>
            </w:r>
          </w:p>
        </w:tc>
      </w:tr>
    </w:tbl>
    <w:p w14:paraId="12EED087" w14:textId="289E2400" w:rsidR="00A055ED" w:rsidRDefault="002F0483">
      <w:pPr>
        <w:rPr>
          <w:rFonts w:ascii="Times New Roman" w:hAnsi="Times New Roman" w:cs="Times New Roman"/>
          <w:szCs w:val="21"/>
        </w:rPr>
      </w:pPr>
      <w:r w:rsidRPr="002F0483">
        <w:rPr>
          <w:rFonts w:ascii="Times New Roman" w:hAnsi="Times New Roman" w:cs="Times New Roman"/>
          <w:szCs w:val="21"/>
        </w:rPr>
        <w:t xml:space="preserve">Results are presented as </w:t>
      </w:r>
      <w:proofErr w:type="spellStart"/>
      <w:r w:rsidRPr="002F0483">
        <w:rPr>
          <w:rFonts w:ascii="Times New Roman" w:hAnsi="Times New Roman" w:cs="Times New Roman"/>
          <w:szCs w:val="21"/>
        </w:rPr>
        <w:t>subdistribution</w:t>
      </w:r>
      <w:proofErr w:type="spellEnd"/>
      <w:r w:rsidRPr="002F0483">
        <w:rPr>
          <w:rFonts w:ascii="Times New Roman" w:hAnsi="Times New Roman" w:cs="Times New Roman"/>
          <w:szCs w:val="21"/>
        </w:rPr>
        <w:t xml:space="preserve"> hazard ratios (</w:t>
      </w:r>
      <w:proofErr w:type="spellStart"/>
      <w:r w:rsidRPr="002F0483">
        <w:rPr>
          <w:rFonts w:ascii="Times New Roman" w:hAnsi="Times New Roman" w:cs="Times New Roman"/>
          <w:szCs w:val="21"/>
        </w:rPr>
        <w:t>sHRs</w:t>
      </w:r>
      <w:proofErr w:type="spellEnd"/>
      <w:r w:rsidRPr="002F0483">
        <w:rPr>
          <w:rFonts w:ascii="Times New Roman" w:hAnsi="Times New Roman" w:cs="Times New Roman"/>
          <w:szCs w:val="21"/>
        </w:rPr>
        <w:t>) with 95% confidence intervals (CIs) from multivariable Fine-Gray models. Prostate cancer-specific death and non-prostate cancer death were analyzed as competing events. All models were adjusted for upfront treatment, age, ECOG PS, total Gleason score, bone metastases, lymph node metastases, lung metastases, liver metastases, extent of disease (EOD), CHAARTED high-volume disease, PSA, and hemoglobin.</w:t>
      </w:r>
    </w:p>
    <w:p w14:paraId="5B7FE10B" w14:textId="77777777" w:rsidR="00A055ED" w:rsidRPr="00A055ED" w:rsidRDefault="00A055ED">
      <w:pPr>
        <w:rPr>
          <w:rFonts w:ascii="Times New Roman" w:hAnsi="Times New Roman" w:cs="Times New Roman"/>
          <w:szCs w:val="21"/>
        </w:rPr>
      </w:pPr>
    </w:p>
    <w:sectPr w:rsidR="00A055ED" w:rsidRPr="00A055ED" w:rsidSect="00A055ED">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D556" w14:textId="77777777" w:rsidR="00EA519C" w:rsidRDefault="00EA519C" w:rsidP="00AF0BC5">
      <w:r>
        <w:separator/>
      </w:r>
    </w:p>
  </w:endnote>
  <w:endnote w:type="continuationSeparator" w:id="0">
    <w:p w14:paraId="322F91DA" w14:textId="77777777" w:rsidR="00EA519C" w:rsidRDefault="00EA519C" w:rsidP="00AF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311B" w14:textId="77777777" w:rsidR="00EA519C" w:rsidRDefault="00EA519C" w:rsidP="00AF0BC5">
      <w:r>
        <w:separator/>
      </w:r>
    </w:p>
  </w:footnote>
  <w:footnote w:type="continuationSeparator" w:id="0">
    <w:p w14:paraId="6DFBE5B1" w14:textId="77777777" w:rsidR="00EA519C" w:rsidRDefault="00EA519C" w:rsidP="00AF0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ED"/>
    <w:rsid w:val="002124EF"/>
    <w:rsid w:val="002F0483"/>
    <w:rsid w:val="00803AE0"/>
    <w:rsid w:val="00931F7C"/>
    <w:rsid w:val="00A055ED"/>
    <w:rsid w:val="00AF0BC5"/>
    <w:rsid w:val="00CB068C"/>
    <w:rsid w:val="00D904B9"/>
    <w:rsid w:val="00DC64F4"/>
    <w:rsid w:val="00E63D6B"/>
    <w:rsid w:val="00EA5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28BE4"/>
  <w15:chartTrackingRefBased/>
  <w15:docId w15:val="{AB53020F-3388-4A63-A547-C237BB04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55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55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55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55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55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55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55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55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55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55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55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55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55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55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55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55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55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55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55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55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5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55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5ED"/>
    <w:pPr>
      <w:spacing w:before="160" w:after="160"/>
      <w:jc w:val="center"/>
    </w:pPr>
    <w:rPr>
      <w:i/>
      <w:iCs/>
      <w:color w:val="404040" w:themeColor="text1" w:themeTint="BF"/>
    </w:rPr>
  </w:style>
  <w:style w:type="character" w:customStyle="1" w:styleId="a8">
    <w:name w:val="引用文 (文字)"/>
    <w:basedOn w:val="a0"/>
    <w:link w:val="a7"/>
    <w:uiPriority w:val="29"/>
    <w:rsid w:val="00A055ED"/>
    <w:rPr>
      <w:i/>
      <w:iCs/>
      <w:color w:val="404040" w:themeColor="text1" w:themeTint="BF"/>
    </w:rPr>
  </w:style>
  <w:style w:type="paragraph" w:styleId="a9">
    <w:name w:val="List Paragraph"/>
    <w:basedOn w:val="a"/>
    <w:uiPriority w:val="34"/>
    <w:qFormat/>
    <w:rsid w:val="00A055ED"/>
    <w:pPr>
      <w:ind w:left="720"/>
      <w:contextualSpacing/>
    </w:pPr>
  </w:style>
  <w:style w:type="character" w:styleId="21">
    <w:name w:val="Intense Emphasis"/>
    <w:basedOn w:val="a0"/>
    <w:uiPriority w:val="21"/>
    <w:qFormat/>
    <w:rsid w:val="00A055ED"/>
    <w:rPr>
      <w:i/>
      <w:iCs/>
      <w:color w:val="0F4761" w:themeColor="accent1" w:themeShade="BF"/>
    </w:rPr>
  </w:style>
  <w:style w:type="paragraph" w:styleId="22">
    <w:name w:val="Intense Quote"/>
    <w:basedOn w:val="a"/>
    <w:next w:val="a"/>
    <w:link w:val="23"/>
    <w:uiPriority w:val="30"/>
    <w:qFormat/>
    <w:rsid w:val="00A05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55ED"/>
    <w:rPr>
      <w:i/>
      <w:iCs/>
      <w:color w:val="0F4761" w:themeColor="accent1" w:themeShade="BF"/>
    </w:rPr>
  </w:style>
  <w:style w:type="character" w:styleId="24">
    <w:name w:val="Intense Reference"/>
    <w:basedOn w:val="a0"/>
    <w:uiPriority w:val="32"/>
    <w:qFormat/>
    <w:rsid w:val="00A055ED"/>
    <w:rPr>
      <w:b/>
      <w:bCs/>
      <w:smallCaps/>
      <w:color w:val="0F4761" w:themeColor="accent1" w:themeShade="BF"/>
      <w:spacing w:val="5"/>
    </w:rPr>
  </w:style>
  <w:style w:type="paragraph" w:styleId="aa">
    <w:name w:val="header"/>
    <w:basedOn w:val="a"/>
    <w:link w:val="ab"/>
    <w:uiPriority w:val="99"/>
    <w:unhideWhenUsed/>
    <w:rsid w:val="00AF0BC5"/>
    <w:pPr>
      <w:tabs>
        <w:tab w:val="center" w:pos="4252"/>
        <w:tab w:val="right" w:pos="8504"/>
      </w:tabs>
      <w:snapToGrid w:val="0"/>
    </w:pPr>
  </w:style>
  <w:style w:type="character" w:customStyle="1" w:styleId="ab">
    <w:name w:val="ヘッダー (文字)"/>
    <w:basedOn w:val="a0"/>
    <w:link w:val="aa"/>
    <w:uiPriority w:val="99"/>
    <w:rsid w:val="00AF0BC5"/>
  </w:style>
  <w:style w:type="paragraph" w:styleId="ac">
    <w:name w:val="footer"/>
    <w:basedOn w:val="a"/>
    <w:link w:val="ad"/>
    <w:uiPriority w:val="99"/>
    <w:unhideWhenUsed/>
    <w:rsid w:val="00AF0BC5"/>
    <w:pPr>
      <w:tabs>
        <w:tab w:val="center" w:pos="4252"/>
        <w:tab w:val="right" w:pos="8504"/>
      </w:tabs>
      <w:snapToGrid w:val="0"/>
    </w:pPr>
  </w:style>
  <w:style w:type="character" w:customStyle="1" w:styleId="ad">
    <w:name w:val="フッター (文字)"/>
    <w:basedOn w:val="a0"/>
    <w:link w:val="ac"/>
    <w:uiPriority w:val="99"/>
    <w:rsid w:val="00A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真吾</dc:creator>
  <cp:keywords/>
  <dc:description/>
  <cp:lastModifiedBy>畠山　真吾</cp:lastModifiedBy>
  <cp:revision>4</cp:revision>
  <dcterms:created xsi:type="dcterms:W3CDTF">2026-04-29T09:00:00Z</dcterms:created>
  <dcterms:modified xsi:type="dcterms:W3CDTF">2026-05-14T05:53:00Z</dcterms:modified>
</cp:coreProperties>
</file>