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F12" w:rsidRPr="00702F12" w:rsidRDefault="00702F12" w:rsidP="00702F12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702F12">
        <w:rPr>
          <w:rFonts w:ascii="Times New Roman" w:hAnsi="Times New Roman" w:cs="Times New Roman"/>
          <w:b/>
          <w:sz w:val="20"/>
          <w:szCs w:val="20"/>
        </w:rPr>
        <w:t>Highlights</w:t>
      </w:r>
    </w:p>
    <w:p w:rsidR="00702F12" w:rsidRPr="00702F12" w:rsidRDefault="00702F12" w:rsidP="00702F12">
      <w:pPr>
        <w:pStyle w:val="NormalWeb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702F12">
        <w:rPr>
          <w:sz w:val="20"/>
          <w:szCs w:val="20"/>
        </w:rPr>
        <w:t xml:space="preserve">Dry shell showed the highest astaxanthin yield </w:t>
      </w:r>
      <w:proofErr w:type="gramStart"/>
      <w:r w:rsidRPr="00702F12">
        <w:rPr>
          <w:sz w:val="20"/>
          <w:szCs w:val="20"/>
        </w:rPr>
        <w:t>(218.01 µg/g)</w:t>
      </w:r>
      <w:proofErr w:type="gramEnd"/>
      <w:r w:rsidRPr="00702F12">
        <w:rPr>
          <w:sz w:val="20"/>
          <w:szCs w:val="20"/>
        </w:rPr>
        <w:t>.</w:t>
      </w:r>
    </w:p>
    <w:p w:rsidR="00702F12" w:rsidRPr="00702F12" w:rsidRDefault="00702F12" w:rsidP="00702F12">
      <w:pPr>
        <w:pStyle w:val="NormalWeb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702F12">
        <w:rPr>
          <w:sz w:val="20"/>
          <w:szCs w:val="20"/>
        </w:rPr>
        <w:t>UV–Vis and FTIR confirmed astaxanthin in all crab extracts.</w:t>
      </w:r>
    </w:p>
    <w:p w:rsidR="00702F12" w:rsidRPr="00702F12" w:rsidRDefault="00702F12" w:rsidP="00702F12">
      <w:pPr>
        <w:pStyle w:val="NormalWeb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702F12">
        <w:rPr>
          <w:sz w:val="20"/>
          <w:szCs w:val="20"/>
        </w:rPr>
        <w:t>TLC identified free, monoester and diester astaxanthin fractions.</w:t>
      </w:r>
    </w:p>
    <w:p w:rsidR="00702F12" w:rsidRPr="00702F12" w:rsidRDefault="00702F12" w:rsidP="00702F12">
      <w:pPr>
        <w:pStyle w:val="NormalWeb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702F12">
        <w:rPr>
          <w:sz w:val="20"/>
          <w:szCs w:val="20"/>
        </w:rPr>
        <w:t xml:space="preserve">Dry shell extract showed strongest </w:t>
      </w:r>
      <w:r>
        <w:rPr>
          <w:sz w:val="20"/>
          <w:szCs w:val="20"/>
        </w:rPr>
        <w:t>antioxidant</w:t>
      </w:r>
      <w:r w:rsidRPr="00702F12">
        <w:rPr>
          <w:sz w:val="20"/>
          <w:szCs w:val="20"/>
        </w:rPr>
        <w:t xml:space="preserve"> activity.</w:t>
      </w:r>
    </w:p>
    <w:p w:rsidR="00702F12" w:rsidRPr="00702F12" w:rsidRDefault="00702F12" w:rsidP="00702F12">
      <w:pPr>
        <w:pStyle w:val="NormalWeb"/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702F12">
        <w:rPr>
          <w:sz w:val="20"/>
          <w:szCs w:val="20"/>
        </w:rPr>
        <w:t xml:space="preserve">Shell extracts exhibited notable antibacterial activity against </w:t>
      </w:r>
      <w:r w:rsidRPr="00702F12">
        <w:rPr>
          <w:i/>
          <w:sz w:val="20"/>
          <w:szCs w:val="20"/>
        </w:rPr>
        <w:t>E. coli</w:t>
      </w:r>
      <w:r w:rsidRPr="00702F12">
        <w:rPr>
          <w:sz w:val="20"/>
          <w:szCs w:val="20"/>
        </w:rPr>
        <w:t>.</w:t>
      </w:r>
    </w:p>
    <w:p w:rsidR="005C1B87" w:rsidRPr="00702F12" w:rsidRDefault="005C1B87" w:rsidP="00702F1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5C1B87" w:rsidRPr="00702F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32064"/>
    <w:multiLevelType w:val="multilevel"/>
    <w:tmpl w:val="C348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9E8"/>
    <w:rsid w:val="002043B5"/>
    <w:rsid w:val="005C1B87"/>
    <w:rsid w:val="00702F12"/>
    <w:rsid w:val="00810C44"/>
    <w:rsid w:val="00D7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2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2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0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</dc:creator>
  <cp:keywords/>
  <dc:description/>
  <cp:lastModifiedBy>Hi</cp:lastModifiedBy>
  <cp:revision>4</cp:revision>
  <dcterms:created xsi:type="dcterms:W3CDTF">2026-05-15T07:44:00Z</dcterms:created>
  <dcterms:modified xsi:type="dcterms:W3CDTF">2026-05-15T09:20:00Z</dcterms:modified>
</cp:coreProperties>
</file>