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2EFE73" w14:textId="77777777" w:rsidR="002F4962" w:rsidRDefault="002F4962" w:rsidP="002F4962">
      <w:pPr>
        <w:jc w:val="center"/>
        <w:rPr>
          <w:rFonts w:ascii="Calibri" w:eastAsia="SimSun" w:hAnsi="Calibri" w:cs="Calibri"/>
          <w:b/>
          <w:bCs/>
          <w:sz w:val="24"/>
          <w14:ligatures w14:val="none"/>
        </w:rPr>
      </w:pPr>
      <w:r>
        <w:rPr>
          <w:rFonts w:ascii="Calibri" w:eastAsia="SimSun" w:hAnsi="Calibri" w:cs="Calibri"/>
          <w:b/>
          <w:bCs/>
          <w:noProof/>
          <w:sz w:val="24"/>
          <w14:ligatures w14:val="none"/>
        </w:rPr>
        <w:drawing>
          <wp:inline distT="0" distB="0" distL="0" distR="0" wp14:anchorId="18087305" wp14:editId="17314682">
            <wp:extent cx="5191125" cy="6932930"/>
            <wp:effectExtent l="0" t="0" r="0" b="1270"/>
            <wp:docPr id="29797148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971480" name="图片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5540" cy="69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44D62" w14:textId="77777777" w:rsidR="002F4962" w:rsidRDefault="002F4962" w:rsidP="002F4962">
      <w:pPr>
        <w:jc w:val="both"/>
        <w:rPr>
          <w:rFonts w:ascii="Calibri" w:eastAsia="SimSun" w:hAnsi="Calibri" w:cs="Calibri"/>
          <w:sz w:val="24"/>
          <w14:ligatures w14:val="none"/>
        </w:rPr>
      </w:pPr>
      <w:r>
        <w:rPr>
          <w:rFonts w:ascii="Calibri" w:eastAsia="SimSun" w:hAnsi="Calibri" w:cs="Calibri"/>
          <w:b/>
          <w:bCs/>
          <w:sz w:val="24"/>
          <w14:ligatures w14:val="none"/>
        </w:rPr>
        <w:t>Figure S</w:t>
      </w:r>
      <w:r>
        <w:rPr>
          <w:rFonts w:ascii="Calibri" w:eastAsia="SimSun" w:hAnsi="Calibri" w:cs="Calibri" w:hint="eastAsia"/>
          <w:b/>
          <w:bCs/>
          <w:sz w:val="24"/>
          <w14:ligatures w14:val="none"/>
        </w:rPr>
        <w:t>1</w:t>
      </w:r>
      <w:r>
        <w:rPr>
          <w:rFonts w:ascii="Calibri" w:eastAsia="SimSun" w:hAnsi="Calibri" w:cs="Calibri"/>
          <w:b/>
          <w:bCs/>
          <w:sz w:val="24"/>
          <w14:ligatures w14:val="none"/>
        </w:rPr>
        <w:t xml:space="preserve">. Quality control of single-nucleus RNA-seq data. </w:t>
      </w:r>
      <w:r>
        <w:rPr>
          <w:rFonts w:ascii="Calibri" w:eastAsia="SimSun" w:hAnsi="Calibri" w:cs="Calibri"/>
          <w:sz w:val="24"/>
          <w14:ligatures w14:val="none"/>
        </w:rPr>
        <w:t>(A) Distributions of detected genes per nucleus and total UMI counts before and after quality control filtering. (B) Proportions of mitochondrial gene expression before and after quality control filtering.</w:t>
      </w:r>
      <w:r>
        <w:rPr>
          <w:rFonts w:ascii="Calibri" w:eastAsia="SimSun" w:hAnsi="Calibri" w:cs="Calibri"/>
          <w:sz w:val="24"/>
          <w14:ligatures w14:val="none"/>
        </w:rPr>
        <w:br w:type="page"/>
      </w:r>
    </w:p>
    <w:p w14:paraId="517966A4" w14:textId="77777777" w:rsidR="002F4962" w:rsidRDefault="002F4962" w:rsidP="002F4962">
      <w:pPr>
        <w:jc w:val="both"/>
        <w:rPr>
          <w:rFonts w:ascii="Calibri" w:eastAsia="SimSun" w:hAnsi="Calibri" w:cs="Calibri"/>
          <w:sz w:val="24"/>
          <w14:ligatures w14:val="none"/>
        </w:rPr>
      </w:pPr>
      <w:r>
        <w:rPr>
          <w:rFonts w:ascii="Calibri" w:eastAsia="SimSun" w:hAnsi="Calibri" w:cs="Calibri"/>
          <w:noProof/>
          <w:sz w:val="24"/>
          <w14:ligatures w14:val="none"/>
        </w:rPr>
        <w:lastRenderedPageBreak/>
        <w:drawing>
          <wp:inline distT="0" distB="0" distL="0" distR="0" wp14:anchorId="586AABD6" wp14:editId="483C5BCD">
            <wp:extent cx="4914900" cy="5441315"/>
            <wp:effectExtent l="0" t="0" r="0" b="6985"/>
            <wp:docPr id="4659054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05419" name="图片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98"/>
                    <a:stretch>
                      <a:fillRect/>
                    </a:stretch>
                  </pic:blipFill>
                  <pic:spPr>
                    <a:xfrm>
                      <a:off x="0" y="0"/>
                      <a:ext cx="4923373" cy="54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38AB4" w14:textId="77777777" w:rsidR="002F4962" w:rsidRDefault="002F4962" w:rsidP="002F4962">
      <w:pPr>
        <w:jc w:val="both"/>
        <w:rPr>
          <w:rFonts w:ascii="Calibri" w:eastAsia="SimSun" w:hAnsi="Calibri" w:cs="Calibri"/>
          <w:sz w:val="24"/>
          <w14:ligatures w14:val="none"/>
        </w:rPr>
      </w:pPr>
      <w:r>
        <w:rPr>
          <w:rFonts w:ascii="Calibri" w:eastAsia="SimSun" w:hAnsi="Calibri" w:cs="Calibri"/>
          <w:b/>
          <w:bCs/>
          <w:sz w:val="24"/>
          <w14:ligatures w14:val="none"/>
        </w:rPr>
        <w:t>Figure S</w:t>
      </w:r>
      <w:r>
        <w:rPr>
          <w:rFonts w:ascii="Calibri" w:eastAsia="SimSun" w:hAnsi="Calibri" w:cs="Calibri" w:hint="eastAsia"/>
          <w:b/>
          <w:bCs/>
          <w:sz w:val="24"/>
          <w14:ligatures w14:val="none"/>
        </w:rPr>
        <w:t>2</w:t>
      </w:r>
      <w:r>
        <w:rPr>
          <w:rFonts w:ascii="Calibri" w:eastAsia="SimSun" w:hAnsi="Calibri" w:cs="Calibri"/>
          <w:b/>
          <w:bCs/>
          <w:sz w:val="24"/>
          <w14:ligatures w14:val="none"/>
        </w:rPr>
        <w:t xml:space="preserve">. Single-cell expression of alanine, aspartate and glutamate metabolism–related genes in neuronal populations. </w:t>
      </w:r>
      <w:r>
        <w:rPr>
          <w:rFonts w:ascii="Calibri" w:eastAsia="SimSun" w:hAnsi="Calibri" w:cs="Calibri"/>
          <w:sz w:val="24"/>
          <w14:ligatures w14:val="none"/>
        </w:rPr>
        <w:t xml:space="preserve">(A–J) UMAP projections of neuronal single-cell transcriptomic data showing the expression of </w:t>
      </w:r>
      <w:r>
        <w:rPr>
          <w:rFonts w:ascii="Calibri" w:eastAsia="SimSun" w:hAnsi="Calibri" w:cs="Calibri" w:hint="eastAsia"/>
          <w:sz w:val="24"/>
          <w14:ligatures w14:val="none"/>
        </w:rPr>
        <w:t>ALDH5A1</w:t>
      </w:r>
      <w:r>
        <w:rPr>
          <w:rFonts w:ascii="Calibri" w:eastAsia="SimSun" w:hAnsi="Calibri" w:cs="Calibri"/>
          <w:sz w:val="24"/>
          <w14:ligatures w14:val="none"/>
        </w:rPr>
        <w:t xml:space="preserve"> (A), </w:t>
      </w:r>
      <w:r>
        <w:rPr>
          <w:rFonts w:ascii="Calibri" w:eastAsia="SimSun" w:hAnsi="Calibri" w:cs="Calibri" w:hint="eastAsia"/>
          <w:sz w:val="24"/>
          <w14:ligatures w14:val="none"/>
        </w:rPr>
        <w:t>ASNS</w:t>
      </w:r>
      <w:r>
        <w:rPr>
          <w:rFonts w:ascii="Calibri" w:eastAsia="SimSun" w:hAnsi="Calibri" w:cs="Calibri"/>
          <w:sz w:val="24"/>
          <w14:ligatures w14:val="none"/>
        </w:rPr>
        <w:t xml:space="preserve"> (B), </w:t>
      </w:r>
      <w:r>
        <w:rPr>
          <w:rFonts w:ascii="Calibri" w:eastAsia="SimSun" w:hAnsi="Calibri" w:cs="Calibri" w:hint="eastAsia"/>
          <w:sz w:val="24"/>
          <w14:ligatures w14:val="none"/>
        </w:rPr>
        <w:t>ASRGL1</w:t>
      </w:r>
      <w:r>
        <w:rPr>
          <w:rFonts w:ascii="Calibri" w:eastAsia="SimSun" w:hAnsi="Calibri" w:cs="Calibri"/>
          <w:sz w:val="24"/>
          <w14:ligatures w14:val="none"/>
        </w:rPr>
        <w:t xml:space="preserve"> (C), </w:t>
      </w:r>
      <w:r>
        <w:rPr>
          <w:rFonts w:ascii="Calibri" w:eastAsia="SimSun" w:hAnsi="Calibri" w:cs="Calibri" w:hint="eastAsia"/>
          <w:sz w:val="24"/>
          <w14:ligatures w14:val="none"/>
        </w:rPr>
        <w:t>ASS1</w:t>
      </w:r>
      <w:r>
        <w:rPr>
          <w:rFonts w:ascii="Calibri" w:eastAsia="SimSun" w:hAnsi="Calibri" w:cs="Calibri"/>
          <w:sz w:val="24"/>
          <w14:ligatures w14:val="none"/>
        </w:rPr>
        <w:t xml:space="preserve"> (D), </w:t>
      </w:r>
      <w:r>
        <w:rPr>
          <w:rFonts w:ascii="Calibri" w:eastAsia="SimSun" w:hAnsi="Calibri" w:cs="Calibri" w:hint="eastAsia"/>
          <w:sz w:val="24"/>
          <w14:ligatures w14:val="none"/>
        </w:rPr>
        <w:t>GAD1</w:t>
      </w:r>
      <w:r>
        <w:rPr>
          <w:rFonts w:ascii="Calibri" w:eastAsia="SimSun" w:hAnsi="Calibri" w:cs="Calibri"/>
          <w:sz w:val="24"/>
          <w14:ligatures w14:val="none"/>
        </w:rPr>
        <w:t xml:space="preserve"> (E), </w:t>
      </w:r>
      <w:r>
        <w:rPr>
          <w:rFonts w:ascii="Calibri" w:eastAsia="SimSun" w:hAnsi="Calibri" w:cs="Calibri" w:hint="eastAsia"/>
          <w:sz w:val="24"/>
          <w14:ligatures w14:val="none"/>
        </w:rPr>
        <w:t>GAD2</w:t>
      </w:r>
      <w:r>
        <w:rPr>
          <w:rFonts w:ascii="Calibri" w:eastAsia="SimSun" w:hAnsi="Calibri" w:cs="Calibri"/>
          <w:sz w:val="24"/>
          <w14:ligatures w14:val="none"/>
        </w:rPr>
        <w:t xml:space="preserve"> (F), </w:t>
      </w:r>
      <w:r>
        <w:rPr>
          <w:rFonts w:ascii="Calibri" w:eastAsia="SimSun" w:hAnsi="Calibri" w:cs="Calibri" w:hint="eastAsia"/>
          <w:sz w:val="24"/>
          <w14:ligatures w14:val="none"/>
        </w:rPr>
        <w:t>GLS2</w:t>
      </w:r>
      <w:r>
        <w:rPr>
          <w:rFonts w:ascii="Calibri" w:eastAsia="SimSun" w:hAnsi="Calibri" w:cs="Calibri"/>
          <w:sz w:val="24"/>
          <w14:ligatures w14:val="none"/>
        </w:rPr>
        <w:t xml:space="preserve"> (G), </w:t>
      </w:r>
      <w:r>
        <w:rPr>
          <w:rFonts w:ascii="Calibri" w:eastAsia="SimSun" w:hAnsi="Calibri" w:cs="Calibri" w:hint="eastAsia"/>
          <w:sz w:val="24"/>
          <w14:ligatures w14:val="none"/>
        </w:rPr>
        <w:t>GOT1</w:t>
      </w:r>
      <w:r>
        <w:rPr>
          <w:rFonts w:ascii="Calibri" w:eastAsia="SimSun" w:hAnsi="Calibri" w:cs="Calibri"/>
          <w:sz w:val="24"/>
          <w14:ligatures w14:val="none"/>
        </w:rPr>
        <w:t xml:space="preserve"> (H), </w:t>
      </w:r>
      <w:r>
        <w:rPr>
          <w:rFonts w:ascii="Calibri" w:eastAsia="SimSun" w:hAnsi="Calibri" w:cs="Calibri" w:hint="eastAsia"/>
          <w:sz w:val="24"/>
          <w14:ligatures w14:val="none"/>
        </w:rPr>
        <w:t>GOT2</w:t>
      </w:r>
      <w:r>
        <w:rPr>
          <w:rFonts w:ascii="Calibri" w:eastAsia="SimSun" w:hAnsi="Calibri" w:cs="Calibri"/>
          <w:sz w:val="24"/>
          <w14:ligatures w14:val="none"/>
        </w:rPr>
        <w:t xml:space="preserve"> (I), and NIT2 (J). Color intensity represents normalized gene expression levels across individual neuronal cells.</w:t>
      </w:r>
      <w:r>
        <w:rPr>
          <w:rFonts w:ascii="Calibri" w:eastAsia="SimSun" w:hAnsi="Calibri" w:cs="Calibri"/>
          <w:sz w:val="24"/>
          <w14:ligatures w14:val="none"/>
        </w:rPr>
        <w:br w:type="page"/>
      </w:r>
    </w:p>
    <w:p w14:paraId="3ACCFAA0" w14:textId="77777777" w:rsidR="002F4962" w:rsidRDefault="002F4962" w:rsidP="002F4962">
      <w:pPr>
        <w:jc w:val="both"/>
        <w:rPr>
          <w:rFonts w:ascii="Calibri" w:eastAsia="SimSun" w:hAnsi="Calibri" w:cs="Calibri"/>
          <w:sz w:val="24"/>
          <w14:ligatures w14:val="none"/>
        </w:rPr>
      </w:pPr>
      <w:r>
        <w:rPr>
          <w:rFonts w:ascii="Calibri" w:hAnsi="Calibri" w:cs="Calibri"/>
          <w:noProof/>
          <w:sz w:val="24"/>
        </w:rPr>
        <w:lastRenderedPageBreak/>
        <w:drawing>
          <wp:inline distT="0" distB="0" distL="0" distR="0" wp14:anchorId="6916081D" wp14:editId="0D423414">
            <wp:extent cx="5153025" cy="7314338"/>
            <wp:effectExtent l="0" t="0" r="0" b="1270"/>
            <wp:docPr id="7556290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118" cy="731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A0CB" w14:textId="77777777" w:rsidR="002F4962" w:rsidRDefault="002F4962" w:rsidP="002F4962">
      <w:pPr>
        <w:jc w:val="both"/>
        <w:rPr>
          <w:rFonts w:ascii="Calibri" w:eastAsia="SimSun" w:hAnsi="Calibri" w:cs="Calibri"/>
          <w:sz w:val="24"/>
          <w14:ligatures w14:val="none"/>
        </w:rPr>
      </w:pPr>
      <w:r>
        <w:rPr>
          <w:rFonts w:ascii="Calibri" w:eastAsia="SimSun" w:hAnsi="Calibri" w:cs="Calibri"/>
          <w:b/>
          <w:bCs/>
          <w:sz w:val="24"/>
          <w14:ligatures w14:val="none"/>
        </w:rPr>
        <w:t xml:space="preserve">Figure </w:t>
      </w:r>
      <w:r>
        <w:rPr>
          <w:rFonts w:ascii="Calibri" w:eastAsia="SimSun" w:hAnsi="Calibri" w:cs="Calibri" w:hint="eastAsia"/>
          <w:b/>
          <w:bCs/>
          <w:sz w:val="24"/>
          <w14:ligatures w14:val="none"/>
        </w:rPr>
        <w:t>S3</w:t>
      </w:r>
      <w:r>
        <w:rPr>
          <w:rFonts w:ascii="Calibri" w:eastAsia="SimSun" w:hAnsi="Calibri" w:cs="Calibri"/>
          <w:b/>
          <w:bCs/>
          <w:sz w:val="24"/>
          <w14:ligatures w14:val="none"/>
        </w:rPr>
        <w:t>. Virtual screening identifies candidate compounds with predicted binding to the ASS1 allosteric pocket</w:t>
      </w:r>
      <w:r>
        <w:rPr>
          <w:rFonts w:ascii="Calibri" w:eastAsia="SimSun" w:hAnsi="Calibri" w:cs="Calibri" w:hint="eastAsia"/>
          <w:b/>
          <w:bCs/>
          <w:sz w:val="24"/>
          <w14:ligatures w14:val="none"/>
        </w:rPr>
        <w:t>.</w:t>
      </w:r>
      <w:r>
        <w:rPr>
          <w:rFonts w:ascii="Calibri" w:eastAsia="SimSun" w:hAnsi="Calibri" w:cs="Calibri"/>
          <w:b/>
          <w:bCs/>
          <w:sz w:val="24"/>
          <w14:ligatures w14:val="none"/>
        </w:rPr>
        <w:t xml:space="preserve"> </w:t>
      </w:r>
      <w:r>
        <w:rPr>
          <w:rFonts w:ascii="Calibri" w:eastAsia="SimSun" w:hAnsi="Calibri" w:cs="Calibri"/>
          <w:sz w:val="24"/>
          <w14:ligatures w14:val="none"/>
        </w:rPr>
        <w:t>(A) Circular bar plot of 114 ligands with MM-GBSA ΔG_bind &lt; –10 kcal/mol, grouped by predicted blood–brain barrier permeability (QPlogBB) and colored by group. (B) Comparative bar plot showing MM-GBSA binding energies, XP GScores and docking scores for 10 selected candidate compounds. (C–L) Docking poses of the 10 selected compounds in the docking grid of ASS1.</w:t>
      </w:r>
    </w:p>
    <w:p w14:paraId="73A06F53" w14:textId="77777777" w:rsidR="002F4962" w:rsidRDefault="002F4962" w:rsidP="002F4962">
      <w:pPr>
        <w:jc w:val="center"/>
        <w:rPr>
          <w:rFonts w:ascii="Calibri" w:eastAsia="SimSun" w:hAnsi="Calibri" w:cs="Calibri"/>
          <w:b/>
          <w:bCs/>
          <w:sz w:val="24"/>
          <w14:ligatures w14:val="none"/>
        </w:rPr>
      </w:pPr>
      <w:r>
        <w:rPr>
          <w:rFonts w:ascii="Calibri" w:eastAsia="SimSun" w:hAnsi="Calibri" w:cs="Calibri"/>
          <w:b/>
          <w:bCs/>
          <w:noProof/>
          <w:sz w:val="24"/>
          <w14:ligatures w14:val="none"/>
        </w:rPr>
        <w:lastRenderedPageBreak/>
        <w:drawing>
          <wp:inline distT="0" distB="0" distL="0" distR="0" wp14:anchorId="3FD49A30" wp14:editId="221CDC4E">
            <wp:extent cx="4876800" cy="6512560"/>
            <wp:effectExtent l="0" t="0" r="0" b="2540"/>
            <wp:docPr id="6364698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46981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3363" cy="652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BAC59" w14:textId="77777777" w:rsidR="002F4962" w:rsidRDefault="002F4962" w:rsidP="002F4962">
      <w:pPr>
        <w:jc w:val="both"/>
        <w:rPr>
          <w:rFonts w:ascii="Calibri" w:eastAsia="SimSun" w:hAnsi="Calibri" w:cs="Calibri"/>
          <w:sz w:val="24"/>
          <w14:ligatures w14:val="none"/>
        </w:rPr>
      </w:pPr>
      <w:r>
        <w:rPr>
          <w:rFonts w:ascii="Calibri" w:eastAsia="SimSun" w:hAnsi="Calibri" w:cs="Calibri"/>
          <w:b/>
          <w:bCs/>
          <w:sz w:val="24"/>
          <w14:ligatures w14:val="none"/>
        </w:rPr>
        <w:t>Figure S</w:t>
      </w:r>
      <w:r>
        <w:rPr>
          <w:rFonts w:ascii="Calibri" w:eastAsia="SimSun" w:hAnsi="Calibri" w:cs="Calibri" w:hint="eastAsia"/>
          <w:b/>
          <w:bCs/>
          <w:sz w:val="24"/>
          <w14:ligatures w14:val="none"/>
        </w:rPr>
        <w:t>4</w:t>
      </w:r>
      <w:r>
        <w:rPr>
          <w:rFonts w:ascii="Calibri" w:eastAsia="SimSun" w:hAnsi="Calibri" w:cs="Calibri"/>
          <w:b/>
          <w:bCs/>
          <w:sz w:val="24"/>
          <w14:ligatures w14:val="none"/>
        </w:rPr>
        <w:t xml:space="preserve">. Two-dimensional structures and docking interactions of ASS1 candidate compounds. </w:t>
      </w:r>
      <w:r>
        <w:rPr>
          <w:rFonts w:ascii="Calibri" w:eastAsia="SimSun" w:hAnsi="Calibri" w:cs="Calibri"/>
          <w:sz w:val="24"/>
          <w14:ligatures w14:val="none"/>
        </w:rPr>
        <w:t>(A–J) Two-dimensional chemical structures and corresponding 2D ligand–protein interaction diagrams of Apomorphine (A), S-Apomorphine (B), Propranolol (C), Dexpropranolol (D), Tulobuterol (E), Demexiptiline (F), Dichloroisoproterenol (G), Cloridarol (H), TRANS-(1S,2S)-2-AMINO-1,2,3,4-TETRAHYDRONAPHTHALEN-1-OL (I), and Safrazine (J) docked into the ASS1 docking grid. Key interacting residues and interaction types are indicated.</w:t>
      </w:r>
    </w:p>
    <w:p w14:paraId="426FD36F" w14:textId="77777777" w:rsidR="00E023F9" w:rsidRDefault="00E023F9"/>
    <w:sectPr w:rsidR="00E023F9" w:rsidSect="002F4962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962"/>
    <w:rsid w:val="000C4033"/>
    <w:rsid w:val="00173ED8"/>
    <w:rsid w:val="002F4962"/>
    <w:rsid w:val="004B42CB"/>
    <w:rsid w:val="005F2B46"/>
    <w:rsid w:val="006E1731"/>
    <w:rsid w:val="00866D74"/>
    <w:rsid w:val="00882A73"/>
    <w:rsid w:val="0095305D"/>
    <w:rsid w:val="00B260B7"/>
    <w:rsid w:val="00B85331"/>
    <w:rsid w:val="00DE7E69"/>
    <w:rsid w:val="00E023F9"/>
    <w:rsid w:val="00E57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4E9F70"/>
  <w15:chartTrackingRefBased/>
  <w15:docId w15:val="{98F83170-4C64-467C-8E32-E86B7DBDE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962"/>
    <w:pPr>
      <w:widowControl w:val="0"/>
    </w:pPr>
    <w:rPr>
      <w:rFonts w:eastAsiaTheme="minorEastAsia"/>
      <w:sz w:val="22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4962"/>
    <w:pPr>
      <w:keepNext/>
      <w:keepLines/>
      <w:widowControl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IN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4962"/>
    <w:pPr>
      <w:keepNext/>
      <w:keepLines/>
      <w:widowControl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IN"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4962"/>
    <w:pPr>
      <w:keepNext/>
      <w:keepLines/>
      <w:widowControl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  <w:lang w:val="en-IN"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4962"/>
    <w:pPr>
      <w:keepNext/>
      <w:keepLines/>
      <w:widowControl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sz w:val="24"/>
      <w:lang w:val="en-IN"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4962"/>
    <w:pPr>
      <w:keepNext/>
      <w:keepLines/>
      <w:widowControl/>
      <w:spacing w:before="80" w:after="40"/>
      <w:outlineLvl w:val="4"/>
    </w:pPr>
    <w:rPr>
      <w:rFonts w:eastAsiaTheme="majorEastAsia" w:cstheme="majorBidi"/>
      <w:color w:val="0F4761" w:themeColor="accent1" w:themeShade="BF"/>
      <w:sz w:val="24"/>
      <w:lang w:val="en-IN"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4962"/>
    <w:pPr>
      <w:keepNext/>
      <w:keepLines/>
      <w:widowControl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sz w:val="24"/>
      <w:lang w:val="en-IN"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4962"/>
    <w:pPr>
      <w:keepNext/>
      <w:keepLines/>
      <w:widowControl/>
      <w:spacing w:before="40" w:after="0"/>
      <w:outlineLvl w:val="6"/>
    </w:pPr>
    <w:rPr>
      <w:rFonts w:eastAsiaTheme="majorEastAsia" w:cstheme="majorBidi"/>
      <w:color w:val="595959" w:themeColor="text1" w:themeTint="A6"/>
      <w:sz w:val="24"/>
      <w:lang w:val="en-IN"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4962"/>
    <w:pPr>
      <w:keepNext/>
      <w:keepLines/>
      <w:widowControl/>
      <w:spacing w:after="0"/>
      <w:outlineLvl w:val="7"/>
    </w:pPr>
    <w:rPr>
      <w:rFonts w:eastAsiaTheme="majorEastAsia" w:cstheme="majorBidi"/>
      <w:i/>
      <w:iCs/>
      <w:color w:val="272727" w:themeColor="text1" w:themeTint="D8"/>
      <w:sz w:val="24"/>
      <w:lang w:val="en-IN"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4962"/>
    <w:pPr>
      <w:keepNext/>
      <w:keepLines/>
      <w:widowControl/>
      <w:spacing w:after="0"/>
      <w:outlineLvl w:val="8"/>
    </w:pPr>
    <w:rPr>
      <w:rFonts w:eastAsiaTheme="majorEastAsia" w:cstheme="majorBidi"/>
      <w:color w:val="272727" w:themeColor="text1" w:themeTint="D8"/>
      <w:sz w:val="24"/>
      <w:lang w:val="en-IN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49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49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49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49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49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49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49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49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49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F4962"/>
    <w:pPr>
      <w:widowControl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N" w:eastAsia="en-US"/>
    </w:rPr>
  </w:style>
  <w:style w:type="character" w:customStyle="1" w:styleId="TitleChar">
    <w:name w:val="Title Char"/>
    <w:basedOn w:val="DefaultParagraphFont"/>
    <w:link w:val="Title"/>
    <w:uiPriority w:val="10"/>
    <w:rsid w:val="002F49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4962"/>
    <w:pPr>
      <w:widowControl/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  <w:lang w:val="en-IN"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2F49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4962"/>
    <w:pPr>
      <w:widowControl/>
      <w:spacing w:before="160"/>
      <w:jc w:val="center"/>
    </w:pPr>
    <w:rPr>
      <w:rFonts w:eastAsiaTheme="minorHAnsi"/>
      <w:i/>
      <w:iCs/>
      <w:color w:val="404040" w:themeColor="text1" w:themeTint="BF"/>
      <w:sz w:val="24"/>
      <w:lang w:val="en-IN" w:eastAsia="en-US"/>
    </w:rPr>
  </w:style>
  <w:style w:type="character" w:customStyle="1" w:styleId="QuoteChar">
    <w:name w:val="Quote Char"/>
    <w:basedOn w:val="DefaultParagraphFont"/>
    <w:link w:val="Quote"/>
    <w:uiPriority w:val="29"/>
    <w:rsid w:val="002F49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F4962"/>
    <w:pPr>
      <w:widowControl/>
      <w:ind w:left="720"/>
      <w:contextualSpacing/>
    </w:pPr>
    <w:rPr>
      <w:rFonts w:eastAsiaTheme="minorHAnsi"/>
      <w:sz w:val="24"/>
      <w:lang w:val="en-IN" w:eastAsia="en-US"/>
    </w:rPr>
  </w:style>
  <w:style w:type="character" w:styleId="IntenseEmphasis">
    <w:name w:val="Intense Emphasis"/>
    <w:basedOn w:val="DefaultParagraphFont"/>
    <w:uiPriority w:val="21"/>
    <w:qFormat/>
    <w:rsid w:val="002F49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4962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eastAsiaTheme="minorHAnsi"/>
      <w:i/>
      <w:iCs/>
      <w:color w:val="0F4761" w:themeColor="accent1" w:themeShade="BF"/>
      <w:sz w:val="24"/>
      <w:lang w:val="en-IN"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49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F4962"/>
    <w:rPr>
      <w:b/>
      <w:bCs/>
      <w:smallCaps/>
      <w:color w:val="0F4761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2F49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252</Words>
  <Characters>1441</Characters>
  <Application>Microsoft Office Word</Application>
  <DocSecurity>0</DocSecurity>
  <Lines>12</Lines>
  <Paragraphs>3</Paragraphs>
  <ScaleCrop>false</ScaleCrop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Trupti Sudge</dc:creator>
  <cp:keywords/>
  <dc:description/>
  <cp:lastModifiedBy>Trupti Sudge</cp:lastModifiedBy>
  <cp:revision>1</cp:revision>
  <dcterms:created xsi:type="dcterms:W3CDTF">2026-05-27T21:08:00Z</dcterms:created>
  <dcterms:modified xsi:type="dcterms:W3CDTF">2026-05-27T21:08:00Z</dcterms:modified>
</cp:coreProperties>
</file>