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b/>
          <w:sz w:val="24"/>
          <w:szCs w:val="24"/>
        </w:rPr>
      </w:pPr>
      <w:r>
        <w:rPr>
          <w:rFonts w:ascii="Times New Roman" w:hAnsi="Times New Roman"/>
          <w:b/>
          <w:sz w:val="24"/>
          <w:szCs w:val="24"/>
        </w:rPr>
        <w:t>Supplementary Figure Legends</w:t>
      </w:r>
    </w:p>
    <w:p>
      <w:pPr>
        <w:spacing w:line="360" w:lineRule="auto"/>
        <w:rPr>
          <w:rFonts w:ascii="Times New Roman" w:hAnsi="Times New Roman"/>
          <w:b/>
          <w:sz w:val="24"/>
          <w:szCs w:val="24"/>
        </w:rPr>
      </w:pPr>
      <w:r>
        <w:rPr>
          <w:rFonts w:hint="eastAsia" w:ascii="Times New Roman" w:hAnsi="Times New Roman"/>
          <w:b/>
          <w:sz w:val="24"/>
          <w:szCs w:val="24"/>
        </w:rPr>
        <w:t>Figure S1. Association between CD3D expression and T, N, M stages. Detailed distribution of CD3D expression across pathological T (A), N (B), and M (C) stages in various TCGA cohorts</w:t>
      </w:r>
      <w:r>
        <w:rPr>
          <w:rFonts w:hint="default" w:ascii="Times New Roman" w:hAnsi="Times New Roman"/>
          <w:b/>
          <w:sz w:val="24"/>
          <w:szCs w:val="24"/>
          <w:lang w:val="en-US"/>
        </w:rPr>
        <w:t>.</w:t>
      </w:r>
      <w:r>
        <w:rPr>
          <w:rFonts w:ascii="Times New Roman" w:hAnsi="Times New Roman"/>
          <w:b/>
          <w:sz w:val="24"/>
          <w:szCs w:val="24"/>
        </w:rPr>
        <w:t xml:space="preserve"> </w:t>
      </w:r>
    </w:p>
    <w:p>
      <w:pPr>
        <w:spacing w:line="360" w:lineRule="auto"/>
        <w:rPr>
          <w:rFonts w:ascii="Times New Roman" w:hAnsi="Times New Roman"/>
          <w:b/>
          <w:sz w:val="24"/>
          <w:szCs w:val="24"/>
        </w:rPr>
      </w:pPr>
    </w:p>
    <w:p>
      <w:pPr>
        <w:spacing w:line="360" w:lineRule="auto"/>
        <w:rPr>
          <w:rFonts w:hint="default" w:ascii="Times New Roman" w:hAnsi="Times New Roman"/>
          <w:b/>
          <w:sz w:val="24"/>
          <w:szCs w:val="24"/>
          <w:lang w:val="en-US"/>
        </w:rPr>
      </w:pPr>
      <w:r>
        <w:rPr>
          <w:rFonts w:hint="eastAsia" w:ascii="Times New Roman" w:hAnsi="Times New Roman"/>
          <w:b/>
          <w:sz w:val="24"/>
          <w:szCs w:val="24"/>
        </w:rPr>
        <w:t>Figure S2. Correlation between CD3D expression and immune subtypes. Violin plots showing the correlation between CD3D expression and immune subtypes (C1-C6) across cancer types based on TISIDB classification</w:t>
      </w:r>
      <w:r>
        <w:rPr>
          <w:rFonts w:hint="default" w:ascii="Times New Roman" w:hAnsi="Times New Roman"/>
          <w:b/>
          <w:sz w:val="24"/>
          <w:szCs w:val="24"/>
          <w:lang w:val="en-US"/>
        </w:rPr>
        <w:t>. Differences among immune subtypes were assessed using the Kruskal-Wallis test.</w:t>
      </w:r>
    </w:p>
    <w:p>
      <w:pPr>
        <w:spacing w:line="360" w:lineRule="auto"/>
        <w:rPr>
          <w:rFonts w:ascii="Times New Roman" w:hAnsi="Times New Roman"/>
          <w:b/>
          <w:sz w:val="24"/>
          <w:szCs w:val="24"/>
        </w:rPr>
      </w:pPr>
    </w:p>
    <w:p>
      <w:pPr>
        <w:spacing w:line="360" w:lineRule="auto"/>
        <w:rPr>
          <w:rFonts w:hint="default" w:ascii="Times New Roman" w:hAnsi="Times New Roman"/>
          <w:b/>
          <w:sz w:val="24"/>
          <w:szCs w:val="24"/>
          <w:lang w:val="en-US"/>
        </w:rPr>
      </w:pPr>
      <w:r>
        <w:rPr>
          <w:rFonts w:hint="eastAsia" w:ascii="Times New Roman" w:hAnsi="Times New Roman"/>
          <w:b/>
          <w:sz w:val="24"/>
          <w:szCs w:val="24"/>
        </w:rPr>
        <w:t>Figure S3. Correlation between CD3D expression and ESTIMATE scores. Scatter plots showing Pearson correlations between CD3D expression and ESTIMATE scores across TCGA tumor cohorts. Correlation coefficient (r) and P value are indicated</w:t>
      </w:r>
      <w:r>
        <w:rPr>
          <w:rFonts w:hint="default" w:ascii="Times New Roman" w:hAnsi="Times New Roman"/>
          <w:b/>
          <w:sz w:val="24"/>
          <w:szCs w:val="24"/>
          <w:lang w:val="en-US"/>
        </w:rPr>
        <w:t>.</w:t>
      </w:r>
    </w:p>
    <w:p>
      <w:pPr>
        <w:spacing w:line="360" w:lineRule="auto"/>
        <w:rPr>
          <w:rFonts w:hint="eastAsia" w:ascii="Times New Roman" w:hAnsi="Times New Roman"/>
          <w:b/>
          <w:sz w:val="24"/>
          <w:szCs w:val="24"/>
        </w:rPr>
      </w:pPr>
    </w:p>
    <w:p>
      <w:pPr>
        <w:spacing w:line="360" w:lineRule="auto"/>
        <w:rPr>
          <w:rFonts w:hint="default" w:ascii="Times New Roman" w:hAnsi="Times New Roman"/>
          <w:b/>
          <w:sz w:val="24"/>
          <w:szCs w:val="24"/>
          <w:lang w:val="en-US"/>
        </w:rPr>
      </w:pPr>
      <w:r>
        <w:rPr>
          <w:rFonts w:hint="eastAsia" w:ascii="Times New Roman" w:hAnsi="Times New Roman"/>
          <w:b/>
          <w:sz w:val="24"/>
          <w:szCs w:val="24"/>
        </w:rPr>
        <w:t>Figure S4. Correlation between CD3D</w:t>
      </w:r>
      <w:bookmarkStart w:id="0" w:name="_GoBack"/>
      <w:bookmarkEnd w:id="0"/>
      <w:r>
        <w:rPr>
          <w:rFonts w:hint="eastAsia" w:ascii="Times New Roman" w:hAnsi="Times New Roman"/>
          <w:b/>
          <w:sz w:val="24"/>
          <w:szCs w:val="24"/>
        </w:rPr>
        <w:t xml:space="preserve"> expression and Immune scores. Correlation analysis between CD3D expression levels and Immune scores across various cancer types calculated by the ESTIMATE algorithm</w:t>
      </w:r>
      <w:r>
        <w:rPr>
          <w:rFonts w:hint="default" w:ascii="Times New Roman" w:hAnsi="Times New Roman"/>
          <w:b/>
          <w:sz w:val="24"/>
          <w:szCs w:val="24"/>
          <w:lang w:val="en-US"/>
        </w:rPr>
        <w:t>.</w:t>
      </w:r>
    </w:p>
    <w:p>
      <w:pPr>
        <w:spacing w:line="360" w:lineRule="auto"/>
        <w:rPr>
          <w:rFonts w:hint="default" w:ascii="Times New Roman" w:hAnsi="Times New Roman"/>
          <w:b/>
          <w:sz w:val="24"/>
          <w:szCs w:val="24"/>
          <w:lang w:val="en-US"/>
        </w:rPr>
      </w:pPr>
    </w:p>
    <w:p>
      <w:pPr>
        <w:spacing w:line="360" w:lineRule="auto"/>
        <w:rPr>
          <w:rFonts w:hint="default" w:ascii="Times New Roman" w:hAnsi="Times New Roman"/>
          <w:b/>
          <w:sz w:val="24"/>
          <w:szCs w:val="24"/>
          <w:lang w:val="en-US"/>
        </w:rPr>
      </w:pPr>
      <w:r>
        <w:rPr>
          <w:rFonts w:hint="eastAsia" w:ascii="Times New Roman" w:hAnsi="Times New Roman"/>
          <w:b/>
          <w:sz w:val="24"/>
          <w:szCs w:val="24"/>
        </w:rPr>
        <w:t>Figure S5. Correlation between CD3D expression and Stromal scores. Correlation analysis between CD3D expression levels and Stromal scores across various cancer types calculated by the ESTIMATE algorithm</w:t>
      </w:r>
      <w:r>
        <w:rPr>
          <w:rFonts w:hint="default" w:ascii="Times New Roman" w:hAnsi="Times New Roman"/>
          <w:b/>
          <w:sz w:val="24"/>
          <w:szCs w:val="24"/>
          <w:lang w:val="en-US"/>
        </w:rPr>
        <w:t>.</w:t>
      </w:r>
    </w:p>
    <w:p>
      <w:pPr>
        <w:spacing w:line="360" w:lineRule="auto"/>
        <w:rPr>
          <w:rFonts w:ascii="Times New Roman" w:hAnsi="Times New Roman"/>
          <w:b/>
          <w:sz w:val="24"/>
          <w:szCs w:val="24"/>
        </w:rPr>
      </w:pPr>
    </w:p>
    <w:p>
      <w:pPr>
        <w:spacing w:line="360" w:lineRule="auto"/>
        <w:rPr>
          <w:rFonts w:ascii="Times New Roman" w:hAnsi="Times New Roman"/>
          <w:b/>
          <w:sz w:val="24"/>
          <w:szCs w:val="24"/>
        </w:rPr>
      </w:pPr>
      <w:r>
        <w:rPr>
          <w:rFonts w:hint="eastAsia" w:ascii="Times New Roman" w:hAnsi="Times New Roman"/>
          <w:b/>
          <w:sz w:val="24"/>
          <w:szCs w:val="24"/>
        </w:rPr>
        <w:t>Figure S6. Correlation of CD3D with immunoregulatory genes. Heatmap illustrating Pearson correlations between CD3D expression and immunoregulatory genes (including chemokines, receptors, MHC, immunoinhibitors, and immunostimulators) across cancers</w:t>
      </w:r>
      <w:r>
        <w:rPr>
          <w:rFonts w:hint="default" w:ascii="Times New Roman" w:hAnsi="Times New Roman"/>
          <w:b/>
          <w:sz w:val="24"/>
          <w:szCs w:val="24"/>
          <w:lang w:val="en-US"/>
        </w:rPr>
        <w:t>.</w:t>
      </w:r>
      <w:r>
        <w:rPr>
          <w:rFonts w:ascii="Times New Roman" w:hAnsi="Times New Roman"/>
          <w:b/>
          <w:sz w:val="24"/>
          <w:szCs w:val="24"/>
        </w:rPr>
        <w:t xml:space="preserve"> </w:t>
      </w:r>
    </w:p>
    <w:p>
      <w:pPr>
        <w:spacing w:line="360" w:lineRule="auto"/>
        <w:rPr>
          <w:rFonts w:ascii="Times New Roman" w:hAnsi="Times New Roman"/>
          <w:b/>
          <w:sz w:val="24"/>
          <w:szCs w:val="24"/>
        </w:rPr>
      </w:pPr>
    </w:p>
    <w:p>
      <w:pPr>
        <w:spacing w:line="360" w:lineRule="auto"/>
        <w:rPr>
          <w:rFonts w:hint="default" w:ascii="Times New Roman" w:hAnsi="Times New Roman"/>
          <w:b/>
          <w:sz w:val="24"/>
          <w:szCs w:val="24"/>
          <w:lang w:val="en-US"/>
        </w:rPr>
      </w:pPr>
      <w:r>
        <w:rPr>
          <w:rFonts w:hint="eastAsia" w:ascii="Times New Roman" w:hAnsi="Times New Roman"/>
          <w:b/>
          <w:sz w:val="24"/>
          <w:szCs w:val="24"/>
        </w:rPr>
        <w:t>Figure S7. Correlation of CD3D with immune checkpoints in pan-cancer. Heatmap showing Pearson correlations between CD3D expression and immune checkpoint genes (Inhibitory and Stimulatory types) across cancer types based on TCGA datasets</w:t>
      </w:r>
      <w:r>
        <w:rPr>
          <w:rFonts w:hint="default" w:ascii="Times New Roman" w:hAnsi="Times New Roman"/>
          <w:b/>
          <w:sz w:val="24"/>
          <w:szCs w:val="24"/>
          <w:lang w:val="en-US"/>
        </w:rPr>
        <w:t>.</w:t>
      </w:r>
    </w:p>
    <w:p>
      <w:pPr>
        <w:spacing w:line="360" w:lineRule="auto"/>
        <w:rPr>
          <w:rFonts w:hint="default" w:ascii="Times New Roman" w:hAnsi="Times New Roman"/>
          <w:b/>
          <w:sz w:val="24"/>
          <w:szCs w:val="24"/>
          <w:lang w:val="en-US"/>
        </w:rPr>
      </w:pPr>
    </w:p>
    <w:p>
      <w:pPr>
        <w:spacing w:line="360" w:lineRule="auto"/>
        <w:rPr>
          <w:rFonts w:ascii="Times New Roman" w:hAnsi="Times New Roman"/>
          <w:b/>
          <w:sz w:val="24"/>
          <w:szCs w:val="24"/>
        </w:rPr>
      </w:pPr>
      <w:r>
        <w:rPr>
          <w:rFonts w:hint="eastAsia" w:ascii="Times New Roman" w:hAnsi="Times New Roman"/>
          <w:b/>
          <w:sz w:val="24"/>
          <w:szCs w:val="24"/>
        </w:rPr>
        <w:t>Figure S8. Correlation between CD3D expression and immune cell infiltration via xCell. Heatmap illustrating the correlations between CD3D expression and various immune and stromal cell infiltration levels estimated using the xCell algorithm</w:t>
      </w:r>
      <w:r>
        <w:rPr>
          <w:rFonts w:hint="default" w:ascii="Times New Roman" w:hAnsi="Times New Roman"/>
          <w:b/>
          <w:sz w:val="24"/>
          <w:szCs w:val="24"/>
          <w:lang w:val="en-US"/>
        </w:rPr>
        <w:t>.</w:t>
      </w:r>
      <w:r>
        <w:rPr>
          <w:rFonts w:ascii="Times New Roman" w:hAnsi="Times New Roman"/>
          <w:b/>
          <w:sz w:val="24"/>
          <w:szCs w:val="24"/>
        </w:rPr>
        <w:t xml:space="preserve"> </w:t>
      </w:r>
    </w:p>
    <w:p>
      <w:pPr>
        <w:spacing w:line="360" w:lineRule="auto"/>
        <w:rPr>
          <w:rFonts w:ascii="Times New Roman" w:hAnsi="Times New Roman"/>
          <w:b/>
          <w:sz w:val="24"/>
          <w:szCs w:val="24"/>
        </w:rPr>
      </w:pPr>
    </w:p>
    <w:p>
      <w:pPr>
        <w:spacing w:line="360" w:lineRule="auto"/>
        <w:rPr>
          <w:rFonts w:hint="default" w:ascii="Times New Roman" w:hAnsi="Times New Roman"/>
          <w:b/>
          <w:bCs/>
          <w:sz w:val="24"/>
          <w:szCs w:val="24"/>
          <w:lang w:val="en-US"/>
        </w:rPr>
      </w:pPr>
      <w:r>
        <w:rPr>
          <w:rFonts w:hint="eastAsia" w:ascii="Times New Roman" w:hAnsi="Times New Roman"/>
          <w:b/>
          <w:sz w:val="24"/>
          <w:szCs w:val="24"/>
        </w:rPr>
        <w:t>Figure S9. TIDE analysis across multiple cancer types. Comparison of TIDE scores between different subgroups (G1 vs. G2) across multiple cancer types to evaluate the potential sensitivity to immunotherapy</w:t>
      </w:r>
      <w:r>
        <w:rPr>
          <w:rFonts w:hint="default" w:ascii="Times New Roman" w:hAnsi="Times New Roman"/>
          <w:b/>
          <w:sz w:val="24"/>
          <w:szCs w:val="24"/>
          <w:lang w:val="en-US"/>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E99"/>
    <w:rsid w:val="00063A46"/>
    <w:rsid w:val="00090FD0"/>
    <w:rsid w:val="00261840"/>
    <w:rsid w:val="00433073"/>
    <w:rsid w:val="009E407A"/>
    <w:rsid w:val="00BF7E00"/>
    <w:rsid w:val="00C2187A"/>
    <w:rsid w:val="00FD2E99"/>
    <w:rsid w:val="8D76D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GB"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364</Words>
  <Characters>2078</Characters>
  <Lines>17</Lines>
  <Paragraphs>4</Paragraphs>
  <TotalTime>9</TotalTime>
  <ScaleCrop>false</ScaleCrop>
  <LinksUpToDate>false</LinksUpToDate>
  <CharactersWithSpaces>2438</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2026-04-14T00:18:00Z</dcterms:created>
  <dc:creator>jieying li</dc:creator>
  <cp:lastModifiedBy>yely</cp:lastModifiedBy>
  <dcterms:modified xsi:type="dcterms:W3CDTF">2026-04-21T01:57:43Z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AE85E1D5CEA59C7C1769E66942DB187B_42</vt:lpwstr>
  </property>
</Properties>
</file>