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00" w:line="360" w:lineRule="auto"/>
        <w:jc w:val="left"/>
      </w:pPr>
      <w:r>
        <w:rPr>
          <w:rFonts w:ascii="Times New Roman" w:cs="Times New Roman" w:eastAsia="Times New Roman" w:hAnsi="Times New Roman"/>
          <w:b/>
          <w:bCs/>
          <w:sz w:val="32"/>
          <w:szCs w:val="32"/>
        </w:rPr>
        <w:t xml:space="preserve">Supplementary File 2</w:t>
      </w:r>
    </w:p>
    <w:p>
      <w:pPr>
        <w:spacing w:line="360" w:lineRule="auto"/>
        <w:jc w:val="left"/>
      </w:pPr>
      <w:r>
        <w:rPr>
          <w:rFonts w:ascii="Times New Roman" w:cs="Times New Roman" w:eastAsia="Times New Roman" w:hAnsi="Times New Roman"/>
          <w:b/>
          <w:bCs/>
          <w:sz w:val="22"/>
          <w:szCs w:val="22"/>
        </w:rPr>
        <w:t xml:space="preserve">Propensity Score Model and Covariate Balance Diagnostics</w:t>
      </w:r>
    </w:p>
    <w:p>
      <w:pPr>
        <w:spacing w:line="360" w:lineRule="auto"/>
        <w:jc w:val="left"/>
      </w:pPr>
      <w:r>
        <w:rPr>
          <w:rFonts w:ascii="Times New Roman" w:cs="Times New Roman" w:eastAsia="Times New Roman" w:hAnsi="Times New Roman"/>
          <w:sz w:val="22"/>
          <w:szCs w:val="22"/>
        </w:rPr>
        <w:t xml:space="preserve"/>
      </w:r>
    </w:p>
    <w:p>
      <w:pPr>
        <w:spacing w:before="150" w:line="360" w:lineRule="auto"/>
        <w:jc w:val="left"/>
      </w:pPr>
      <w:r>
        <w:rPr>
          <w:rFonts w:ascii="Times New Roman" w:cs="Times New Roman" w:eastAsia="Times New Roman" w:hAnsi="Times New Roman"/>
          <w:b/>
          <w:bCs/>
          <w:sz w:val="24"/>
          <w:szCs w:val="24"/>
        </w:rPr>
        <w:t xml:space="preserve">Propensity score model</w:t>
      </w:r>
    </w:p>
    <w:p>
      <w:pPr>
        <w:spacing w:line="360" w:lineRule="auto"/>
        <w:jc w:val="left"/>
      </w:pPr>
      <w:r>
        <w:rPr>
          <w:rFonts w:ascii="Times New Roman" w:cs="Times New Roman" w:eastAsia="Times New Roman" w:hAnsi="Times New Roman"/>
          <w:sz w:val="22"/>
          <w:szCs w:val="22"/>
        </w:rPr>
        <w:t xml:space="preserve">A logistic regression model was fitted to estimate each participant's probability of being assigned to the experimental group given their baseline covariates. The model included the following covariates: age (continuous), gender (female vs. male), nursing as first choice (yes vs. no), career intention (yes vs. no), prior volunteer experience (yes vs. no), pretest TCTDI total score (continuous), and pretest Caring Behaviour Scale total score (continuous).</w:t>
      </w:r>
    </w:p>
    <w:p>
      <w:pPr>
        <w:spacing w:line="360" w:lineRule="auto"/>
        <w:jc w:val="left"/>
      </w:pPr>
      <w:r>
        <w:rPr>
          <w:rFonts w:ascii="Times New Roman" w:cs="Times New Roman" w:eastAsia="Times New Roman" w:hAnsi="Times New Roman"/>
          <w:sz w:val="22"/>
          <w:szCs w:val="22"/>
        </w:rPr>
        <w:t xml:space="preserve"/>
      </w:r>
    </w:p>
    <w:p>
      <w:pPr>
        <w:spacing w:line="360" w:lineRule="auto"/>
        <w:jc w:val="left"/>
      </w:pPr>
      <w:r>
        <w:rPr>
          <w:rFonts w:ascii="Times New Roman" w:cs="Times New Roman" w:eastAsia="Times New Roman" w:hAnsi="Times New Roman"/>
          <w:b/>
          <w:bCs/>
          <w:sz w:val="22"/>
          <w:szCs w:val="22"/>
        </w:rPr>
        <w:t xml:space="preserve">Model equation:</w:t>
      </w:r>
    </w:p>
    <w:p>
      <w:pPr>
        <w:spacing w:line="360" w:lineRule="auto"/>
        <w:jc w:val="left"/>
      </w:pPr>
      <w:r>
        <w:rPr>
          <w:rFonts w:ascii="Times New Roman" w:cs="Times New Roman" w:eastAsia="Times New Roman" w:hAnsi="Times New Roman"/>
          <w:sz w:val="22"/>
          <w:szCs w:val="22"/>
        </w:rPr>
        <w:t xml:space="preserve">logit(P[Group = Experimental | X]) = β</w:t>
      </w:r>
      <w:r>
        <w:rPr>
          <w:rFonts w:ascii="Times New Roman" w:cs="Times New Roman" w:eastAsia="Times New Roman" w:hAnsi="Times New Roman"/>
          <w:sz w:val="22"/>
          <w:szCs w:val="22"/>
          <w:vertAlign w:val="superscript"/>
        </w:rPr>
        <w:t xml:space="preserve">0</w:t>
      </w:r>
      <w:r>
        <w:rPr>
          <w:rFonts w:ascii="Times New Roman" w:cs="Times New Roman" w:eastAsia="Times New Roman" w:hAnsi="Times New Roman"/>
          <w:sz w:val="22"/>
          <w:szCs w:val="22"/>
        </w:rPr>
        <w:t xml:space="preserve"> + β</w:t>
      </w:r>
      <w:r>
        <w:rPr>
          <w:rFonts w:ascii="Times New Roman" w:cs="Times New Roman" w:eastAsia="Times New Roman" w:hAnsi="Times New Roman"/>
          <w:sz w:val="22"/>
          <w:szCs w:val="22"/>
          <w:vertAlign w:val="superscript"/>
        </w:rPr>
        <w:t xml:space="preserve">1</w:t>
      </w:r>
      <w:r>
        <w:rPr>
          <w:rFonts w:ascii="Times New Roman" w:cs="Times New Roman" w:eastAsia="Times New Roman" w:hAnsi="Times New Roman"/>
          <w:sz w:val="22"/>
          <w:szCs w:val="22"/>
        </w:rPr>
        <w:t xml:space="preserve">·Age + β</w:t>
      </w:r>
      <w:r>
        <w:rPr>
          <w:rFonts w:ascii="Times New Roman" w:cs="Times New Roman" w:eastAsia="Times New Roman" w:hAnsi="Times New Roman"/>
          <w:sz w:val="22"/>
          <w:szCs w:val="22"/>
          <w:vertAlign w:val="superscript"/>
        </w:rPr>
        <w:t xml:space="preserve">2</w:t>
      </w:r>
      <w:r>
        <w:rPr>
          <w:rFonts w:ascii="Times New Roman" w:cs="Times New Roman" w:eastAsia="Times New Roman" w:hAnsi="Times New Roman"/>
          <w:sz w:val="22"/>
          <w:szCs w:val="22"/>
        </w:rPr>
        <w:t xml:space="preserve">·Gender + β</w:t>
      </w:r>
      <w:r>
        <w:rPr>
          <w:rFonts w:ascii="Times New Roman" w:cs="Times New Roman" w:eastAsia="Times New Roman" w:hAnsi="Times New Roman"/>
          <w:sz w:val="22"/>
          <w:szCs w:val="22"/>
          <w:vertAlign w:val="superscript"/>
        </w:rPr>
        <w:t xml:space="preserve">3</w:t>
      </w:r>
      <w:r>
        <w:rPr>
          <w:rFonts w:ascii="Times New Roman" w:cs="Times New Roman" w:eastAsia="Times New Roman" w:hAnsi="Times New Roman"/>
          <w:sz w:val="22"/>
          <w:szCs w:val="22"/>
        </w:rPr>
        <w:t xml:space="preserve">·FirstChoice + β</w:t>
      </w:r>
      <w:r>
        <w:rPr>
          <w:rFonts w:ascii="Times New Roman" w:cs="Times New Roman" w:eastAsia="Times New Roman" w:hAnsi="Times New Roman"/>
          <w:sz w:val="22"/>
          <w:szCs w:val="22"/>
          <w:vertAlign w:val="superscript"/>
        </w:rPr>
        <w:t xml:space="preserve">4</w:t>
      </w:r>
      <w:r>
        <w:rPr>
          <w:rFonts w:ascii="Times New Roman" w:cs="Times New Roman" w:eastAsia="Times New Roman" w:hAnsi="Times New Roman"/>
          <w:sz w:val="22"/>
          <w:szCs w:val="22"/>
        </w:rPr>
        <w:t xml:space="preserve">·CareerIntention + β</w:t>
      </w:r>
      <w:r>
        <w:rPr>
          <w:rFonts w:ascii="Times New Roman" w:cs="Times New Roman" w:eastAsia="Times New Roman" w:hAnsi="Times New Roman"/>
          <w:sz w:val="22"/>
          <w:szCs w:val="22"/>
          <w:vertAlign w:val="superscript"/>
        </w:rPr>
        <w:t xml:space="preserve">5</w:t>
      </w:r>
      <w:r>
        <w:rPr>
          <w:rFonts w:ascii="Times New Roman" w:cs="Times New Roman" w:eastAsia="Times New Roman" w:hAnsi="Times New Roman"/>
          <w:sz w:val="22"/>
          <w:szCs w:val="22"/>
        </w:rPr>
        <w:t xml:space="preserve">·PriorVolunteer + β</w:t>
      </w:r>
      <w:r>
        <w:rPr>
          <w:rFonts w:ascii="Times New Roman" w:cs="Times New Roman" w:eastAsia="Times New Roman" w:hAnsi="Times New Roman"/>
          <w:sz w:val="22"/>
          <w:szCs w:val="22"/>
          <w:vertAlign w:val="superscript"/>
        </w:rPr>
        <w:t xml:space="preserve">6</w:t>
      </w:r>
      <w:r>
        <w:rPr>
          <w:rFonts w:ascii="Times New Roman" w:cs="Times New Roman" w:eastAsia="Times New Roman" w:hAnsi="Times New Roman"/>
          <w:sz w:val="22"/>
          <w:szCs w:val="22"/>
        </w:rPr>
        <w:t xml:space="preserve">·PreTCTDI + β</w:t>
      </w:r>
      <w:r>
        <w:rPr>
          <w:rFonts w:ascii="Times New Roman" w:cs="Times New Roman" w:eastAsia="Times New Roman" w:hAnsi="Times New Roman"/>
          <w:sz w:val="22"/>
          <w:szCs w:val="22"/>
          <w:vertAlign w:val="superscript"/>
        </w:rPr>
        <w:t xml:space="preserve">7</w:t>
      </w:r>
      <w:r>
        <w:rPr>
          <w:rFonts w:ascii="Times New Roman" w:cs="Times New Roman" w:eastAsia="Times New Roman" w:hAnsi="Times New Roman"/>
          <w:sz w:val="22"/>
          <w:szCs w:val="22"/>
        </w:rPr>
        <w:t xml:space="preserve">·PreCaring</w:t>
      </w:r>
    </w:p>
    <w:p>
      <w:pPr>
        <w:spacing w:line="360" w:lineRule="auto"/>
        <w:jc w:val="left"/>
      </w:pPr>
      <w:r>
        <w:rPr>
          <w:rFonts w:ascii="Times New Roman" w:cs="Times New Roman" w:eastAsia="Times New Roman" w:hAnsi="Times New Roman"/>
          <w:sz w:val="22"/>
          <w:szCs w:val="22"/>
        </w:rPr>
        <w:t xml:space="preserve"/>
      </w:r>
    </w:p>
    <w:p>
      <w:pPr>
        <w:spacing w:line="360" w:lineRule="auto"/>
        <w:jc w:val="left"/>
      </w:pPr>
      <w:r>
        <w:rPr>
          <w:rFonts w:ascii="Times New Roman" w:cs="Times New Roman" w:eastAsia="Times New Roman" w:hAnsi="Times New Roman"/>
          <w:sz w:val="22"/>
          <w:szCs w:val="22"/>
        </w:rPr>
        <w:t xml:space="preserve">Stabilised inverse-probability-of-treatment weights (IPTW) were computed as:</w:t>
      </w:r>
    </w:p>
    <w:p>
      <w:pPr>
        <w:spacing w:line="360" w:lineRule="auto"/>
        <w:jc w:val="left"/>
      </w:pPr>
      <w:r>
        <w:rPr>
          <w:rFonts w:ascii="Times New Roman" w:cs="Times New Roman" w:eastAsia="Times New Roman" w:hAnsi="Times New Roman"/>
          <w:sz w:val="22"/>
          <w:szCs w:val="22"/>
        </w:rPr>
        <w:t xml:space="preserve">w</w:t>
      </w:r>
      <w:r>
        <w:rPr>
          <w:rFonts w:ascii="Times New Roman" w:cs="Times New Roman" w:eastAsia="Times New Roman" w:hAnsi="Times New Roman"/>
          <w:sz w:val="22"/>
          <w:szCs w:val="22"/>
          <w:vertAlign w:val="superscript"/>
        </w:rPr>
        <w:t xml:space="preserve">stab</w:t>
      </w:r>
      <w:r>
        <w:rPr>
          <w:rFonts w:ascii="Times New Roman" w:cs="Times New Roman" w:eastAsia="Times New Roman" w:hAnsi="Times New Roman"/>
          <w:sz w:val="22"/>
          <w:szCs w:val="22"/>
        </w:rPr>
        <w:t xml:space="preserve"> = [P(Group = Experimental) / P(Group = Experimental | X)] for the experimental group, and </w:t>
      </w:r>
      <w:r>
        <w:rPr>
          <w:rFonts w:ascii="Times New Roman" w:cs="Times New Roman" w:eastAsia="Times New Roman" w:hAnsi="Times New Roman"/>
          <w:sz w:val="22"/>
          <w:szCs w:val="22"/>
        </w:rPr>
        <w:t xml:space="preserve">w</w:t>
      </w:r>
      <w:r>
        <w:rPr>
          <w:rFonts w:ascii="Times New Roman" w:cs="Times New Roman" w:eastAsia="Times New Roman" w:hAnsi="Times New Roman"/>
          <w:sz w:val="22"/>
          <w:szCs w:val="22"/>
          <w:vertAlign w:val="superscript"/>
        </w:rPr>
        <w:t xml:space="preserve">stab</w:t>
      </w:r>
      <w:r>
        <w:rPr>
          <w:rFonts w:ascii="Times New Roman" w:cs="Times New Roman" w:eastAsia="Times New Roman" w:hAnsi="Times New Roman"/>
          <w:sz w:val="22"/>
          <w:szCs w:val="22"/>
        </w:rPr>
        <w:t xml:space="preserve"> = [P(Group = Control) / P(Group = Control | X)] for the control group.</w:t>
      </w:r>
    </w:p>
    <w:p>
      <w:pPr>
        <w:spacing w:line="360" w:lineRule="auto"/>
        <w:jc w:val="left"/>
      </w:pPr>
      <w:r>
        <w:rPr>
          <w:rFonts w:ascii="Times New Roman" w:cs="Times New Roman" w:eastAsia="Times New Roman" w:hAnsi="Times New Roman"/>
          <w:sz w:val="22"/>
          <w:szCs w:val="22"/>
        </w:rPr>
        <w:t xml:space="preserve"/>
      </w:r>
    </w:p>
    <w:p>
      <w:pPr>
        <w:spacing w:line="360" w:lineRule="auto"/>
        <w:jc w:val="left"/>
      </w:pPr>
      <w:r>
        <w:rPr>
          <w:rFonts w:ascii="Times New Roman" w:cs="Times New Roman" w:eastAsia="Times New Roman" w:hAnsi="Times New Roman"/>
          <w:sz w:val="22"/>
          <w:szCs w:val="22"/>
        </w:rPr>
        <w:t xml:space="preserve">Weights were truncated at the 1st and 99th percentiles to mitigate the influence of extreme values [33]. The weighted sample retained an effective sample size of approximately 138, consistent with minimal information loss.</w:t>
      </w:r>
    </w:p>
    <w:p>
      <w:pPr>
        <w:spacing w:line="360" w:lineRule="auto"/>
        <w:jc w:val="left"/>
      </w:pPr>
      <w:r>
        <w:rPr>
          <w:rFonts w:ascii="Times New Roman" w:cs="Times New Roman" w:eastAsia="Times New Roman" w:hAnsi="Times New Roman"/>
          <w:sz w:val="22"/>
          <w:szCs w:val="22"/>
        </w:rPr>
        <w:t xml:space="preserve"/>
      </w:r>
    </w:p>
    <w:p>
      <w:pPr>
        <w:spacing w:before="150" w:line="360" w:lineRule="auto"/>
        <w:jc w:val="left"/>
      </w:pPr>
      <w:r>
        <w:rPr>
          <w:rFonts w:ascii="Times New Roman" w:cs="Times New Roman" w:eastAsia="Times New Roman" w:hAnsi="Times New Roman"/>
          <w:b/>
          <w:bCs/>
          <w:sz w:val="24"/>
          <w:szCs w:val="24"/>
        </w:rPr>
        <w:t xml:space="preserve">Covariate balance diagnostics</w:t>
      </w:r>
    </w:p>
    <w:p>
      <w:pPr>
        <w:spacing w:line="360" w:lineRule="auto"/>
        <w:jc w:val="left"/>
      </w:pPr>
      <w:r>
        <w:rPr>
          <w:rFonts w:ascii="Times New Roman" w:cs="Times New Roman" w:eastAsia="Times New Roman" w:hAnsi="Times New Roman"/>
          <w:sz w:val="22"/>
          <w:szCs w:val="22"/>
        </w:rPr>
        <w:t xml:space="preserve">Covariate balance was assessed using standardised mean differences (SMDs) before and after weighting. The conventional threshold of |SMD| &lt; 0.10 was applied as the criterion for adequate balance [33]. As shown in the table below, all seven covariates achieved adequate balance after IPTW weighting.</w:t>
      </w:r>
    </w:p>
    <w:p>
      <w:pPr>
        <w:spacing w:line="360" w:lineRule="auto"/>
        <w:jc w:val="left"/>
      </w:pPr>
      <w:r>
        <w:rPr>
          <w:rFonts w:ascii="Times New Roman" w:cs="Times New Roman" w:eastAsia="Times New Roman" w:hAnsi="Times New Roman"/>
          <w:sz w:val="22"/>
          <w:szCs w:val="2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1700"/>
        <w:gridCol w:w="1700"/>
        <w:gridCol w:w="1700"/>
        <w:gridCol w:w="1860"/>
      </w:tblGrid>
      <w:tr>
        <w:tc>
          <w:tcPr>
            <w:tcBorders>
              <w:top w:val="single" w:color="666666" w:sz="4"/>
              <w:left w:val="single" w:color="666666" w:sz="4"/>
              <w:bottom w:val="single" w:color="666666" w:sz="4"/>
              <w:right w:val="single" w:color="666666" w:sz="4"/>
            </w:tcBorders>
            <w:shd w:fill="F2F2F2" w:val="clear"/>
            <w:tcMar>
              <w:top w:type="dxa" w:w="80"/>
              <w:left w:type="dxa" w:w="120"/>
              <w:bottom w:type="dxa" w:w="80"/>
              <w:right w:type="dxa" w:w="120"/>
            </w:tcMar>
            <w:vAlign w:val="top"/>
          </w:tcPr>
          <w:p>
            <w:pPr>
              <w:spacing w:line="240" w:lineRule="auto"/>
              <w:jc w:val="left"/>
            </w:pPr>
            <w:r>
              <w:rPr>
                <w:rFonts w:ascii="Times New Roman" w:cs="Times New Roman" w:eastAsia="Times New Roman" w:hAnsi="Times New Roman"/>
                <w:b/>
                <w:bCs/>
                <w:sz w:val="22"/>
                <w:szCs w:val="22"/>
              </w:rPr>
              <w:t xml:space="preserve">Covariate</w:t>
            </w:r>
          </w:p>
        </w:tc>
        <w:tc>
          <w:tcPr>
            <w:tcBorders>
              <w:top w:val="single" w:color="666666" w:sz="4"/>
              <w:left w:val="single" w:color="666666" w:sz="4"/>
              <w:bottom w:val="single" w:color="666666" w:sz="4"/>
              <w:right w:val="single" w:color="666666" w:sz="4"/>
            </w:tcBorders>
            <w:shd w:fill="F2F2F2" w:val="clear"/>
            <w:tcMar>
              <w:top w:type="dxa" w:w="80"/>
              <w:left w:type="dxa" w:w="120"/>
              <w:bottom w:type="dxa" w:w="80"/>
              <w:right w:type="dxa" w:w="120"/>
            </w:tcMar>
            <w:vAlign w:val="top"/>
          </w:tcPr>
          <w:p>
            <w:pPr>
              <w:spacing w:line="240" w:lineRule="auto"/>
              <w:jc w:val="center"/>
            </w:pPr>
            <w:r>
              <w:rPr>
                <w:rFonts w:ascii="Times New Roman" w:cs="Times New Roman" w:eastAsia="Times New Roman" w:hAnsi="Times New Roman"/>
                <w:b/>
                <w:bCs/>
                <w:sz w:val="22"/>
                <w:szCs w:val="22"/>
              </w:rPr>
              <w:t xml:space="preserve">Before IPTW SMD</w:t>
            </w:r>
          </w:p>
        </w:tc>
        <w:tc>
          <w:tcPr>
            <w:tcBorders>
              <w:top w:val="single" w:color="666666" w:sz="4"/>
              <w:left w:val="single" w:color="666666" w:sz="4"/>
              <w:bottom w:val="single" w:color="666666" w:sz="4"/>
              <w:right w:val="single" w:color="666666" w:sz="4"/>
            </w:tcBorders>
            <w:shd w:fill="F2F2F2" w:val="clear"/>
            <w:tcMar>
              <w:top w:type="dxa" w:w="80"/>
              <w:left w:type="dxa" w:w="120"/>
              <w:bottom w:type="dxa" w:w="80"/>
              <w:right w:type="dxa" w:w="120"/>
            </w:tcMar>
            <w:vAlign w:val="top"/>
          </w:tcPr>
          <w:p>
            <w:pPr>
              <w:spacing w:line="240" w:lineRule="auto"/>
              <w:jc w:val="center"/>
            </w:pPr>
            <w:r>
              <w:rPr>
                <w:rFonts w:ascii="Times New Roman" w:cs="Times New Roman" w:eastAsia="Times New Roman" w:hAnsi="Times New Roman"/>
                <w:b/>
                <w:bCs/>
                <w:sz w:val="22"/>
                <w:szCs w:val="22"/>
              </w:rPr>
              <w:t xml:space="preserve">After IPTW SMD</w:t>
            </w:r>
          </w:p>
        </w:tc>
        <w:tc>
          <w:tcPr>
            <w:tcBorders>
              <w:top w:val="single" w:color="666666" w:sz="4"/>
              <w:left w:val="single" w:color="666666" w:sz="4"/>
              <w:bottom w:val="single" w:color="666666" w:sz="4"/>
              <w:right w:val="single" w:color="666666" w:sz="4"/>
            </w:tcBorders>
            <w:shd w:fill="F2F2F2" w:val="clear"/>
            <w:tcMar>
              <w:top w:type="dxa" w:w="80"/>
              <w:left w:type="dxa" w:w="120"/>
              <w:bottom w:type="dxa" w:w="80"/>
              <w:right w:type="dxa" w:w="120"/>
            </w:tcMar>
            <w:vAlign w:val="top"/>
          </w:tcPr>
          <w:p>
            <w:pPr>
              <w:spacing w:line="240" w:lineRule="auto"/>
              <w:jc w:val="center"/>
            </w:pPr>
            <w:r>
              <w:rPr>
                <w:rFonts w:ascii="Times New Roman" w:cs="Times New Roman" w:eastAsia="Times New Roman" w:hAnsi="Times New Roman"/>
                <w:b/>
                <w:bCs/>
                <w:sz w:val="22"/>
                <w:szCs w:val="22"/>
              </w:rPr>
              <w:t xml:space="preserve">Threshold (|SMD| &lt; 0.10)</w:t>
            </w:r>
          </w:p>
        </w:tc>
        <w:tc>
          <w:tcPr>
            <w:tcBorders>
              <w:top w:val="single" w:color="666666" w:sz="4"/>
              <w:left w:val="single" w:color="666666" w:sz="4"/>
              <w:bottom w:val="single" w:color="666666" w:sz="4"/>
              <w:right w:val="single" w:color="666666" w:sz="4"/>
            </w:tcBorders>
            <w:shd w:fill="F2F2F2" w:val="clear"/>
            <w:tcMar>
              <w:top w:type="dxa" w:w="80"/>
              <w:left w:type="dxa" w:w="120"/>
              <w:bottom w:type="dxa" w:w="80"/>
              <w:right w:type="dxa" w:w="120"/>
            </w:tcMar>
            <w:vAlign w:val="top"/>
          </w:tcPr>
          <w:p>
            <w:pPr>
              <w:spacing w:line="240" w:lineRule="auto"/>
              <w:jc w:val="center"/>
            </w:pPr>
            <w:r>
              <w:rPr>
                <w:rFonts w:ascii="Times New Roman" w:cs="Times New Roman" w:eastAsia="Times New Roman" w:hAnsi="Times New Roman"/>
                <w:b/>
                <w:bCs/>
                <w:sz w:val="22"/>
                <w:szCs w:val="22"/>
              </w:rPr>
              <w:t xml:space="preserve">Balance achieved</w:t>
            </w:r>
          </w:p>
        </w:tc>
      </w:tr>
      <w:tr>
        <w:tc>
          <w:tcPr>
            <w:tcBorders>
              <w:top w:val="single" w:color="666666" w:sz="4"/>
              <w:left w:val="single" w:color="666666" w:sz="4"/>
              <w:bottom w:val="single" w:color="666666" w:sz="4"/>
              <w:right w:val="single" w:color="666666" w:sz="4"/>
            </w:tcBorders>
            <w:tcMar>
              <w:top w:type="dxa" w:w="80"/>
              <w:left w:type="dxa" w:w="120"/>
              <w:bottom w:type="dxa" w:w="80"/>
              <w:right w:type="dxa" w:w="120"/>
            </w:tcMar>
            <w:vAlign w:val="top"/>
          </w:tcPr>
          <w:p>
            <w:pPr>
              <w:spacing w:line="240" w:lineRule="auto"/>
              <w:jc w:val="left"/>
            </w:pPr>
            <w:r>
              <w:rPr>
                <w:rFonts w:ascii="Times New Roman" w:cs="Times New Roman" w:eastAsia="Times New Roman" w:hAnsi="Times New Roman"/>
                <w:sz w:val="22"/>
                <w:szCs w:val="22"/>
              </w:rPr>
              <w:t xml:space="preserve">Age</w:t>
            </w:r>
          </w:p>
        </w:tc>
        <w:tc>
          <w:tcPr>
            <w:tcBorders>
              <w:top w:val="single" w:color="666666" w:sz="4"/>
              <w:left w:val="single" w:color="666666" w:sz="4"/>
              <w:bottom w:val="single" w:color="666666" w:sz="4"/>
              <w:right w:val="single" w:color="666666" w:sz="4"/>
            </w:tcBorders>
            <w:tcMar>
              <w:top w:type="dxa" w:w="80"/>
              <w:left w:type="dxa" w:w="120"/>
              <w:bottom w:type="dxa" w:w="80"/>
              <w:right w:type="dxa" w:w="120"/>
            </w:tcMar>
            <w:vAlign w:val="top"/>
          </w:tcPr>
          <w:p>
            <w:pPr>
              <w:spacing w:line="240" w:lineRule="auto"/>
              <w:jc w:val="center"/>
            </w:pPr>
            <w:r>
              <w:rPr>
                <w:rFonts w:ascii="Times New Roman" w:cs="Times New Roman" w:eastAsia="Times New Roman" w:hAnsi="Times New Roman"/>
                <w:sz w:val="22"/>
                <w:szCs w:val="22"/>
              </w:rPr>
              <w:t xml:space="preserve">0.15</w:t>
            </w:r>
          </w:p>
        </w:tc>
        <w:tc>
          <w:tcPr>
            <w:tcBorders>
              <w:top w:val="single" w:color="666666" w:sz="4"/>
              <w:left w:val="single" w:color="666666" w:sz="4"/>
              <w:bottom w:val="single" w:color="666666" w:sz="4"/>
              <w:right w:val="single" w:color="666666" w:sz="4"/>
            </w:tcBorders>
            <w:tcMar>
              <w:top w:type="dxa" w:w="80"/>
              <w:left w:type="dxa" w:w="120"/>
              <w:bottom w:type="dxa" w:w="80"/>
              <w:right w:type="dxa" w:w="120"/>
            </w:tcMar>
            <w:vAlign w:val="top"/>
          </w:tcPr>
          <w:p>
            <w:pPr>
              <w:spacing w:line="240" w:lineRule="auto"/>
              <w:jc w:val="center"/>
            </w:pPr>
            <w:r>
              <w:rPr>
                <w:rFonts w:ascii="Times New Roman" w:cs="Times New Roman" w:eastAsia="Times New Roman" w:hAnsi="Times New Roman"/>
                <w:sz w:val="22"/>
                <w:szCs w:val="22"/>
              </w:rPr>
              <w:t xml:space="preserve">0.04</w:t>
            </w:r>
          </w:p>
        </w:tc>
        <w:tc>
          <w:tcPr>
            <w:tcBorders>
              <w:top w:val="single" w:color="666666" w:sz="4"/>
              <w:left w:val="single" w:color="666666" w:sz="4"/>
              <w:bottom w:val="single" w:color="666666" w:sz="4"/>
              <w:right w:val="single" w:color="666666" w:sz="4"/>
            </w:tcBorders>
            <w:tcMar>
              <w:top w:type="dxa" w:w="80"/>
              <w:left w:type="dxa" w:w="120"/>
              <w:bottom w:type="dxa" w:w="80"/>
              <w:right w:type="dxa" w:w="120"/>
            </w:tcMar>
            <w:vAlign w:val="top"/>
          </w:tcPr>
          <w:p>
            <w:pPr>
              <w:spacing w:line="240" w:lineRule="auto"/>
              <w:jc w:val="center"/>
            </w:pPr>
            <w:r>
              <w:rPr>
                <w:rFonts w:ascii="Times New Roman" w:cs="Times New Roman" w:eastAsia="Times New Roman" w:hAnsi="Times New Roman"/>
                <w:sz w:val="22"/>
                <w:szCs w:val="22"/>
              </w:rPr>
              <w:t xml:space="preserve">✓</w:t>
            </w:r>
          </w:p>
        </w:tc>
        <w:tc>
          <w:tcPr>
            <w:tcBorders>
              <w:top w:val="single" w:color="666666" w:sz="4"/>
              <w:left w:val="single" w:color="666666" w:sz="4"/>
              <w:bottom w:val="single" w:color="666666" w:sz="4"/>
              <w:right w:val="single" w:color="666666" w:sz="4"/>
            </w:tcBorders>
            <w:tcMar>
              <w:top w:type="dxa" w:w="80"/>
              <w:left w:type="dxa" w:w="120"/>
              <w:bottom w:type="dxa" w:w="80"/>
              <w:right w:type="dxa" w:w="120"/>
            </w:tcMar>
            <w:vAlign w:val="top"/>
          </w:tcPr>
          <w:p>
            <w:pPr>
              <w:spacing w:line="240" w:lineRule="auto"/>
              <w:jc w:val="center"/>
            </w:pPr>
            <w:r>
              <w:rPr>
                <w:rFonts w:ascii="Times New Roman" w:cs="Times New Roman" w:eastAsia="Times New Roman" w:hAnsi="Times New Roman"/>
                <w:sz w:val="22"/>
                <w:szCs w:val="22"/>
              </w:rPr>
              <w:t xml:space="preserve">Yes</w:t>
            </w:r>
          </w:p>
        </w:tc>
      </w:tr>
      <w:tr>
        <w:tc>
          <w:tcPr>
            <w:tcBorders>
              <w:top w:val="single" w:color="666666" w:sz="4"/>
              <w:left w:val="single" w:color="666666" w:sz="4"/>
              <w:bottom w:val="single" w:color="666666" w:sz="4"/>
              <w:right w:val="single" w:color="666666" w:sz="4"/>
            </w:tcBorders>
            <w:tcMar>
              <w:top w:type="dxa" w:w="80"/>
              <w:left w:type="dxa" w:w="120"/>
              <w:bottom w:type="dxa" w:w="80"/>
              <w:right w:type="dxa" w:w="120"/>
            </w:tcMar>
            <w:vAlign w:val="top"/>
          </w:tcPr>
          <w:p>
            <w:pPr>
              <w:spacing w:line="240" w:lineRule="auto"/>
              <w:jc w:val="left"/>
            </w:pPr>
            <w:r>
              <w:rPr>
                <w:rFonts w:ascii="Times New Roman" w:cs="Times New Roman" w:eastAsia="Times New Roman" w:hAnsi="Times New Roman"/>
                <w:sz w:val="22"/>
                <w:szCs w:val="22"/>
              </w:rPr>
              <w:t xml:space="preserve">Gender (female)</w:t>
            </w:r>
          </w:p>
        </w:tc>
        <w:tc>
          <w:tcPr>
            <w:tcBorders>
              <w:top w:val="single" w:color="666666" w:sz="4"/>
              <w:left w:val="single" w:color="666666" w:sz="4"/>
              <w:bottom w:val="single" w:color="666666" w:sz="4"/>
              <w:right w:val="single" w:color="666666" w:sz="4"/>
            </w:tcBorders>
            <w:tcMar>
              <w:top w:type="dxa" w:w="80"/>
              <w:left w:type="dxa" w:w="120"/>
              <w:bottom w:type="dxa" w:w="80"/>
              <w:right w:type="dxa" w:w="120"/>
            </w:tcMar>
            <w:vAlign w:val="top"/>
          </w:tcPr>
          <w:p>
            <w:pPr>
              <w:spacing w:line="240" w:lineRule="auto"/>
              <w:jc w:val="center"/>
            </w:pPr>
            <w:r>
              <w:rPr>
                <w:rFonts w:ascii="Times New Roman" w:cs="Times New Roman" w:eastAsia="Times New Roman" w:hAnsi="Times New Roman"/>
                <w:sz w:val="22"/>
                <w:szCs w:val="22"/>
              </w:rPr>
              <w:t xml:space="preserve">0.01</w:t>
            </w:r>
          </w:p>
        </w:tc>
        <w:tc>
          <w:tcPr>
            <w:tcBorders>
              <w:top w:val="single" w:color="666666" w:sz="4"/>
              <w:left w:val="single" w:color="666666" w:sz="4"/>
              <w:bottom w:val="single" w:color="666666" w:sz="4"/>
              <w:right w:val="single" w:color="666666" w:sz="4"/>
            </w:tcBorders>
            <w:tcMar>
              <w:top w:type="dxa" w:w="80"/>
              <w:left w:type="dxa" w:w="120"/>
              <w:bottom w:type="dxa" w:w="80"/>
              <w:right w:type="dxa" w:w="120"/>
            </w:tcMar>
            <w:vAlign w:val="top"/>
          </w:tcPr>
          <w:p>
            <w:pPr>
              <w:spacing w:line="240" w:lineRule="auto"/>
              <w:jc w:val="center"/>
            </w:pPr>
            <w:r>
              <w:rPr>
                <w:rFonts w:ascii="Times New Roman" w:cs="Times New Roman" w:eastAsia="Times New Roman" w:hAnsi="Times New Roman"/>
                <w:sz w:val="22"/>
                <w:szCs w:val="22"/>
              </w:rPr>
              <w:t xml:space="preserve">0.01</w:t>
            </w:r>
          </w:p>
        </w:tc>
        <w:tc>
          <w:tcPr>
            <w:tcBorders>
              <w:top w:val="single" w:color="666666" w:sz="4"/>
              <w:left w:val="single" w:color="666666" w:sz="4"/>
              <w:bottom w:val="single" w:color="666666" w:sz="4"/>
              <w:right w:val="single" w:color="666666" w:sz="4"/>
            </w:tcBorders>
            <w:tcMar>
              <w:top w:type="dxa" w:w="80"/>
              <w:left w:type="dxa" w:w="120"/>
              <w:bottom w:type="dxa" w:w="80"/>
              <w:right w:type="dxa" w:w="120"/>
            </w:tcMar>
            <w:vAlign w:val="top"/>
          </w:tcPr>
          <w:p>
            <w:pPr>
              <w:spacing w:line="240" w:lineRule="auto"/>
              <w:jc w:val="center"/>
            </w:pPr>
            <w:r>
              <w:rPr>
                <w:rFonts w:ascii="Times New Roman" w:cs="Times New Roman" w:eastAsia="Times New Roman" w:hAnsi="Times New Roman"/>
                <w:sz w:val="22"/>
                <w:szCs w:val="22"/>
              </w:rPr>
              <w:t xml:space="preserve">✓</w:t>
            </w:r>
          </w:p>
        </w:tc>
        <w:tc>
          <w:tcPr>
            <w:tcBorders>
              <w:top w:val="single" w:color="666666" w:sz="4"/>
              <w:left w:val="single" w:color="666666" w:sz="4"/>
              <w:bottom w:val="single" w:color="666666" w:sz="4"/>
              <w:right w:val="single" w:color="666666" w:sz="4"/>
            </w:tcBorders>
            <w:tcMar>
              <w:top w:type="dxa" w:w="80"/>
              <w:left w:type="dxa" w:w="120"/>
              <w:bottom w:type="dxa" w:w="80"/>
              <w:right w:type="dxa" w:w="120"/>
            </w:tcMar>
            <w:vAlign w:val="top"/>
          </w:tcPr>
          <w:p>
            <w:pPr>
              <w:spacing w:line="240" w:lineRule="auto"/>
              <w:jc w:val="center"/>
            </w:pPr>
            <w:r>
              <w:rPr>
                <w:rFonts w:ascii="Times New Roman" w:cs="Times New Roman" w:eastAsia="Times New Roman" w:hAnsi="Times New Roman"/>
                <w:sz w:val="22"/>
                <w:szCs w:val="22"/>
              </w:rPr>
              <w:t xml:space="preserve">Yes</w:t>
            </w:r>
          </w:p>
        </w:tc>
      </w:tr>
      <w:tr>
        <w:tc>
          <w:tcPr>
            <w:tcBorders>
              <w:top w:val="single" w:color="666666" w:sz="4"/>
              <w:left w:val="single" w:color="666666" w:sz="4"/>
              <w:bottom w:val="single" w:color="666666" w:sz="4"/>
              <w:right w:val="single" w:color="666666" w:sz="4"/>
            </w:tcBorders>
            <w:tcMar>
              <w:top w:type="dxa" w:w="80"/>
              <w:left w:type="dxa" w:w="120"/>
              <w:bottom w:type="dxa" w:w="80"/>
              <w:right w:type="dxa" w:w="120"/>
            </w:tcMar>
            <w:vAlign w:val="top"/>
          </w:tcPr>
          <w:p>
            <w:pPr>
              <w:spacing w:line="240" w:lineRule="auto"/>
              <w:jc w:val="left"/>
            </w:pPr>
            <w:r>
              <w:rPr>
                <w:rFonts w:ascii="Times New Roman" w:cs="Times New Roman" w:eastAsia="Times New Roman" w:hAnsi="Times New Roman"/>
                <w:sz w:val="22"/>
                <w:szCs w:val="22"/>
              </w:rPr>
              <w:t xml:space="preserve">Nursing as first choice</w:t>
            </w:r>
          </w:p>
        </w:tc>
        <w:tc>
          <w:tcPr>
            <w:tcBorders>
              <w:top w:val="single" w:color="666666" w:sz="4"/>
              <w:left w:val="single" w:color="666666" w:sz="4"/>
              <w:bottom w:val="single" w:color="666666" w:sz="4"/>
              <w:right w:val="single" w:color="666666" w:sz="4"/>
            </w:tcBorders>
            <w:tcMar>
              <w:top w:type="dxa" w:w="80"/>
              <w:left w:type="dxa" w:w="120"/>
              <w:bottom w:type="dxa" w:w="80"/>
              <w:right w:type="dxa" w:w="120"/>
            </w:tcMar>
            <w:vAlign w:val="top"/>
          </w:tcPr>
          <w:p>
            <w:pPr>
              <w:spacing w:line="240" w:lineRule="auto"/>
              <w:jc w:val="center"/>
            </w:pPr>
            <w:r>
              <w:rPr>
                <w:rFonts w:ascii="Times New Roman" w:cs="Times New Roman" w:eastAsia="Times New Roman" w:hAnsi="Times New Roman"/>
                <w:sz w:val="22"/>
                <w:szCs w:val="22"/>
              </w:rPr>
              <w:t xml:space="preserve">0.15</w:t>
            </w:r>
          </w:p>
        </w:tc>
        <w:tc>
          <w:tcPr>
            <w:tcBorders>
              <w:top w:val="single" w:color="666666" w:sz="4"/>
              <w:left w:val="single" w:color="666666" w:sz="4"/>
              <w:bottom w:val="single" w:color="666666" w:sz="4"/>
              <w:right w:val="single" w:color="666666" w:sz="4"/>
            </w:tcBorders>
            <w:tcMar>
              <w:top w:type="dxa" w:w="80"/>
              <w:left w:type="dxa" w:w="120"/>
              <w:bottom w:type="dxa" w:w="80"/>
              <w:right w:type="dxa" w:w="120"/>
            </w:tcMar>
            <w:vAlign w:val="top"/>
          </w:tcPr>
          <w:p>
            <w:pPr>
              <w:spacing w:line="240" w:lineRule="auto"/>
              <w:jc w:val="center"/>
            </w:pPr>
            <w:r>
              <w:rPr>
                <w:rFonts w:ascii="Times New Roman" w:cs="Times New Roman" w:eastAsia="Times New Roman" w:hAnsi="Times New Roman"/>
                <w:sz w:val="22"/>
                <w:szCs w:val="22"/>
              </w:rPr>
              <w:t xml:space="preserve">0.07</w:t>
            </w:r>
          </w:p>
        </w:tc>
        <w:tc>
          <w:tcPr>
            <w:tcBorders>
              <w:top w:val="single" w:color="666666" w:sz="4"/>
              <w:left w:val="single" w:color="666666" w:sz="4"/>
              <w:bottom w:val="single" w:color="666666" w:sz="4"/>
              <w:right w:val="single" w:color="666666" w:sz="4"/>
            </w:tcBorders>
            <w:tcMar>
              <w:top w:type="dxa" w:w="80"/>
              <w:left w:type="dxa" w:w="120"/>
              <w:bottom w:type="dxa" w:w="80"/>
              <w:right w:type="dxa" w:w="120"/>
            </w:tcMar>
            <w:vAlign w:val="top"/>
          </w:tcPr>
          <w:p>
            <w:pPr>
              <w:spacing w:line="240" w:lineRule="auto"/>
              <w:jc w:val="center"/>
            </w:pPr>
            <w:r>
              <w:rPr>
                <w:rFonts w:ascii="Times New Roman" w:cs="Times New Roman" w:eastAsia="Times New Roman" w:hAnsi="Times New Roman"/>
                <w:sz w:val="22"/>
                <w:szCs w:val="22"/>
              </w:rPr>
              <w:t xml:space="preserve">✓</w:t>
            </w:r>
          </w:p>
        </w:tc>
        <w:tc>
          <w:tcPr>
            <w:tcBorders>
              <w:top w:val="single" w:color="666666" w:sz="4"/>
              <w:left w:val="single" w:color="666666" w:sz="4"/>
              <w:bottom w:val="single" w:color="666666" w:sz="4"/>
              <w:right w:val="single" w:color="666666" w:sz="4"/>
            </w:tcBorders>
            <w:tcMar>
              <w:top w:type="dxa" w:w="80"/>
              <w:left w:type="dxa" w:w="120"/>
              <w:bottom w:type="dxa" w:w="80"/>
              <w:right w:type="dxa" w:w="120"/>
            </w:tcMar>
            <w:vAlign w:val="top"/>
          </w:tcPr>
          <w:p>
            <w:pPr>
              <w:spacing w:line="240" w:lineRule="auto"/>
              <w:jc w:val="center"/>
            </w:pPr>
            <w:r>
              <w:rPr>
                <w:rFonts w:ascii="Times New Roman" w:cs="Times New Roman" w:eastAsia="Times New Roman" w:hAnsi="Times New Roman"/>
                <w:sz w:val="22"/>
                <w:szCs w:val="22"/>
              </w:rPr>
              <w:t xml:space="preserve">Yes</w:t>
            </w:r>
          </w:p>
        </w:tc>
      </w:tr>
      <w:tr>
        <w:tc>
          <w:tcPr>
            <w:tcBorders>
              <w:top w:val="single" w:color="666666" w:sz="4"/>
              <w:left w:val="single" w:color="666666" w:sz="4"/>
              <w:bottom w:val="single" w:color="666666" w:sz="4"/>
              <w:right w:val="single" w:color="666666" w:sz="4"/>
            </w:tcBorders>
            <w:tcMar>
              <w:top w:type="dxa" w:w="80"/>
              <w:left w:type="dxa" w:w="120"/>
              <w:bottom w:type="dxa" w:w="80"/>
              <w:right w:type="dxa" w:w="120"/>
            </w:tcMar>
            <w:vAlign w:val="top"/>
          </w:tcPr>
          <w:p>
            <w:pPr>
              <w:spacing w:line="240" w:lineRule="auto"/>
              <w:jc w:val="left"/>
            </w:pPr>
            <w:r>
              <w:rPr>
                <w:rFonts w:ascii="Times New Roman" w:cs="Times New Roman" w:eastAsia="Times New Roman" w:hAnsi="Times New Roman"/>
                <w:sz w:val="22"/>
                <w:szCs w:val="22"/>
              </w:rPr>
              <w:t xml:space="preserve">Career intention</w:t>
            </w:r>
          </w:p>
        </w:tc>
        <w:tc>
          <w:tcPr>
            <w:tcBorders>
              <w:top w:val="single" w:color="666666" w:sz="4"/>
              <w:left w:val="single" w:color="666666" w:sz="4"/>
              <w:bottom w:val="single" w:color="666666" w:sz="4"/>
              <w:right w:val="single" w:color="666666" w:sz="4"/>
            </w:tcBorders>
            <w:tcMar>
              <w:top w:type="dxa" w:w="80"/>
              <w:left w:type="dxa" w:w="120"/>
              <w:bottom w:type="dxa" w:w="80"/>
              <w:right w:type="dxa" w:w="120"/>
            </w:tcMar>
            <w:vAlign w:val="top"/>
          </w:tcPr>
          <w:p>
            <w:pPr>
              <w:spacing w:line="240" w:lineRule="auto"/>
              <w:jc w:val="center"/>
            </w:pPr>
            <w:r>
              <w:rPr>
                <w:rFonts w:ascii="Times New Roman" w:cs="Times New Roman" w:eastAsia="Times New Roman" w:hAnsi="Times New Roman"/>
                <w:sz w:val="22"/>
                <w:szCs w:val="22"/>
              </w:rPr>
              <w:t xml:space="preserve">0.55</w:t>
            </w:r>
          </w:p>
        </w:tc>
        <w:tc>
          <w:tcPr>
            <w:tcBorders>
              <w:top w:val="single" w:color="666666" w:sz="4"/>
              <w:left w:val="single" w:color="666666" w:sz="4"/>
              <w:bottom w:val="single" w:color="666666" w:sz="4"/>
              <w:right w:val="single" w:color="666666" w:sz="4"/>
            </w:tcBorders>
            <w:tcMar>
              <w:top w:type="dxa" w:w="80"/>
              <w:left w:type="dxa" w:w="120"/>
              <w:bottom w:type="dxa" w:w="80"/>
              <w:right w:type="dxa" w:w="120"/>
            </w:tcMar>
            <w:vAlign w:val="top"/>
          </w:tcPr>
          <w:p>
            <w:pPr>
              <w:spacing w:line="240" w:lineRule="auto"/>
              <w:jc w:val="center"/>
            </w:pPr>
            <w:r>
              <w:rPr>
                <w:rFonts w:ascii="Times New Roman" w:cs="Times New Roman" w:eastAsia="Times New Roman" w:hAnsi="Times New Roman"/>
                <w:sz w:val="22"/>
                <w:szCs w:val="22"/>
              </w:rPr>
              <w:t xml:space="preserve">0.09</w:t>
            </w:r>
          </w:p>
        </w:tc>
        <w:tc>
          <w:tcPr>
            <w:tcBorders>
              <w:top w:val="single" w:color="666666" w:sz="4"/>
              <w:left w:val="single" w:color="666666" w:sz="4"/>
              <w:bottom w:val="single" w:color="666666" w:sz="4"/>
              <w:right w:val="single" w:color="666666" w:sz="4"/>
            </w:tcBorders>
            <w:tcMar>
              <w:top w:type="dxa" w:w="80"/>
              <w:left w:type="dxa" w:w="120"/>
              <w:bottom w:type="dxa" w:w="80"/>
              <w:right w:type="dxa" w:w="120"/>
            </w:tcMar>
            <w:vAlign w:val="top"/>
          </w:tcPr>
          <w:p>
            <w:pPr>
              <w:spacing w:line="240" w:lineRule="auto"/>
              <w:jc w:val="center"/>
            </w:pPr>
            <w:r>
              <w:rPr>
                <w:rFonts w:ascii="Times New Roman" w:cs="Times New Roman" w:eastAsia="Times New Roman" w:hAnsi="Times New Roman"/>
                <w:sz w:val="22"/>
                <w:szCs w:val="22"/>
              </w:rPr>
              <w:t xml:space="preserve">✓</w:t>
            </w:r>
          </w:p>
        </w:tc>
        <w:tc>
          <w:tcPr>
            <w:tcBorders>
              <w:top w:val="single" w:color="666666" w:sz="4"/>
              <w:left w:val="single" w:color="666666" w:sz="4"/>
              <w:bottom w:val="single" w:color="666666" w:sz="4"/>
              <w:right w:val="single" w:color="666666" w:sz="4"/>
            </w:tcBorders>
            <w:tcMar>
              <w:top w:type="dxa" w:w="80"/>
              <w:left w:type="dxa" w:w="120"/>
              <w:bottom w:type="dxa" w:w="80"/>
              <w:right w:type="dxa" w:w="120"/>
            </w:tcMar>
            <w:vAlign w:val="top"/>
          </w:tcPr>
          <w:p>
            <w:pPr>
              <w:spacing w:line="240" w:lineRule="auto"/>
              <w:jc w:val="center"/>
            </w:pPr>
            <w:r>
              <w:rPr>
                <w:rFonts w:ascii="Times New Roman" w:cs="Times New Roman" w:eastAsia="Times New Roman" w:hAnsi="Times New Roman"/>
                <w:sz w:val="22"/>
                <w:szCs w:val="22"/>
              </w:rPr>
              <w:t xml:space="preserve">Yes</w:t>
            </w:r>
          </w:p>
        </w:tc>
      </w:tr>
      <w:tr>
        <w:tc>
          <w:tcPr>
            <w:tcBorders>
              <w:top w:val="single" w:color="666666" w:sz="4"/>
              <w:left w:val="single" w:color="666666" w:sz="4"/>
              <w:bottom w:val="single" w:color="666666" w:sz="4"/>
              <w:right w:val="single" w:color="666666" w:sz="4"/>
            </w:tcBorders>
            <w:tcMar>
              <w:top w:type="dxa" w:w="80"/>
              <w:left w:type="dxa" w:w="120"/>
              <w:bottom w:type="dxa" w:w="80"/>
              <w:right w:type="dxa" w:w="120"/>
            </w:tcMar>
            <w:vAlign w:val="top"/>
          </w:tcPr>
          <w:p>
            <w:pPr>
              <w:spacing w:line="240" w:lineRule="auto"/>
              <w:jc w:val="left"/>
            </w:pPr>
            <w:r>
              <w:rPr>
                <w:rFonts w:ascii="Times New Roman" w:cs="Times New Roman" w:eastAsia="Times New Roman" w:hAnsi="Times New Roman"/>
                <w:sz w:val="22"/>
                <w:szCs w:val="22"/>
              </w:rPr>
              <w:t xml:space="preserve">Prior volunteer experience</w:t>
            </w:r>
          </w:p>
        </w:tc>
        <w:tc>
          <w:tcPr>
            <w:tcBorders>
              <w:top w:val="single" w:color="666666" w:sz="4"/>
              <w:left w:val="single" w:color="666666" w:sz="4"/>
              <w:bottom w:val="single" w:color="666666" w:sz="4"/>
              <w:right w:val="single" w:color="666666" w:sz="4"/>
            </w:tcBorders>
            <w:tcMar>
              <w:top w:type="dxa" w:w="80"/>
              <w:left w:type="dxa" w:w="120"/>
              <w:bottom w:type="dxa" w:w="80"/>
              <w:right w:type="dxa" w:w="120"/>
            </w:tcMar>
            <w:vAlign w:val="top"/>
          </w:tcPr>
          <w:p>
            <w:pPr>
              <w:spacing w:line="240" w:lineRule="auto"/>
              <w:jc w:val="center"/>
            </w:pPr>
            <w:r>
              <w:rPr>
                <w:rFonts w:ascii="Times New Roman" w:cs="Times New Roman" w:eastAsia="Times New Roman" w:hAnsi="Times New Roman"/>
                <w:sz w:val="22"/>
                <w:szCs w:val="22"/>
              </w:rPr>
              <w:t xml:space="preserve">0.22</w:t>
            </w:r>
          </w:p>
        </w:tc>
        <w:tc>
          <w:tcPr>
            <w:tcBorders>
              <w:top w:val="single" w:color="666666" w:sz="4"/>
              <w:left w:val="single" w:color="666666" w:sz="4"/>
              <w:bottom w:val="single" w:color="666666" w:sz="4"/>
              <w:right w:val="single" w:color="666666" w:sz="4"/>
            </w:tcBorders>
            <w:tcMar>
              <w:top w:type="dxa" w:w="80"/>
              <w:left w:type="dxa" w:w="120"/>
              <w:bottom w:type="dxa" w:w="80"/>
              <w:right w:type="dxa" w:w="120"/>
            </w:tcMar>
            <w:vAlign w:val="top"/>
          </w:tcPr>
          <w:p>
            <w:pPr>
              <w:spacing w:line="240" w:lineRule="auto"/>
              <w:jc w:val="center"/>
            </w:pPr>
            <w:r>
              <w:rPr>
                <w:rFonts w:ascii="Times New Roman" w:cs="Times New Roman" w:eastAsia="Times New Roman" w:hAnsi="Times New Roman"/>
                <w:sz w:val="22"/>
                <w:szCs w:val="22"/>
              </w:rPr>
              <w:t xml:space="preserve">0.08</w:t>
            </w:r>
          </w:p>
        </w:tc>
        <w:tc>
          <w:tcPr>
            <w:tcBorders>
              <w:top w:val="single" w:color="666666" w:sz="4"/>
              <w:left w:val="single" w:color="666666" w:sz="4"/>
              <w:bottom w:val="single" w:color="666666" w:sz="4"/>
              <w:right w:val="single" w:color="666666" w:sz="4"/>
            </w:tcBorders>
            <w:tcMar>
              <w:top w:type="dxa" w:w="80"/>
              <w:left w:type="dxa" w:w="120"/>
              <w:bottom w:type="dxa" w:w="80"/>
              <w:right w:type="dxa" w:w="120"/>
            </w:tcMar>
            <w:vAlign w:val="top"/>
          </w:tcPr>
          <w:p>
            <w:pPr>
              <w:spacing w:line="240" w:lineRule="auto"/>
              <w:jc w:val="center"/>
            </w:pPr>
            <w:r>
              <w:rPr>
                <w:rFonts w:ascii="Times New Roman" w:cs="Times New Roman" w:eastAsia="Times New Roman" w:hAnsi="Times New Roman"/>
                <w:sz w:val="22"/>
                <w:szCs w:val="22"/>
              </w:rPr>
              <w:t xml:space="preserve">✓</w:t>
            </w:r>
          </w:p>
        </w:tc>
        <w:tc>
          <w:tcPr>
            <w:tcBorders>
              <w:top w:val="single" w:color="666666" w:sz="4"/>
              <w:left w:val="single" w:color="666666" w:sz="4"/>
              <w:bottom w:val="single" w:color="666666" w:sz="4"/>
              <w:right w:val="single" w:color="666666" w:sz="4"/>
            </w:tcBorders>
            <w:tcMar>
              <w:top w:type="dxa" w:w="80"/>
              <w:left w:type="dxa" w:w="120"/>
              <w:bottom w:type="dxa" w:w="80"/>
              <w:right w:type="dxa" w:w="120"/>
            </w:tcMar>
            <w:vAlign w:val="top"/>
          </w:tcPr>
          <w:p>
            <w:pPr>
              <w:spacing w:line="240" w:lineRule="auto"/>
              <w:jc w:val="center"/>
            </w:pPr>
            <w:r>
              <w:rPr>
                <w:rFonts w:ascii="Times New Roman" w:cs="Times New Roman" w:eastAsia="Times New Roman" w:hAnsi="Times New Roman"/>
                <w:sz w:val="22"/>
                <w:szCs w:val="22"/>
              </w:rPr>
              <w:t xml:space="preserve">Yes</w:t>
            </w:r>
          </w:p>
        </w:tc>
      </w:tr>
      <w:tr>
        <w:tc>
          <w:tcPr>
            <w:tcBorders>
              <w:top w:val="single" w:color="666666" w:sz="4"/>
              <w:left w:val="single" w:color="666666" w:sz="4"/>
              <w:bottom w:val="single" w:color="666666" w:sz="4"/>
              <w:right w:val="single" w:color="666666" w:sz="4"/>
            </w:tcBorders>
            <w:tcMar>
              <w:top w:type="dxa" w:w="80"/>
              <w:left w:type="dxa" w:w="120"/>
              <w:bottom w:type="dxa" w:w="80"/>
              <w:right w:type="dxa" w:w="120"/>
            </w:tcMar>
            <w:vAlign w:val="top"/>
          </w:tcPr>
          <w:p>
            <w:pPr>
              <w:spacing w:line="240" w:lineRule="auto"/>
              <w:jc w:val="left"/>
            </w:pPr>
            <w:r>
              <w:rPr>
                <w:rFonts w:ascii="Times New Roman" w:cs="Times New Roman" w:eastAsia="Times New Roman" w:hAnsi="Times New Roman"/>
                <w:sz w:val="22"/>
                <w:szCs w:val="22"/>
              </w:rPr>
              <w:t xml:space="preserve">Pretest TCTDI total</w:t>
            </w:r>
          </w:p>
        </w:tc>
        <w:tc>
          <w:tcPr>
            <w:tcBorders>
              <w:top w:val="single" w:color="666666" w:sz="4"/>
              <w:left w:val="single" w:color="666666" w:sz="4"/>
              <w:bottom w:val="single" w:color="666666" w:sz="4"/>
              <w:right w:val="single" w:color="666666" w:sz="4"/>
            </w:tcBorders>
            <w:tcMar>
              <w:top w:type="dxa" w:w="80"/>
              <w:left w:type="dxa" w:w="120"/>
              <w:bottom w:type="dxa" w:w="80"/>
              <w:right w:type="dxa" w:w="120"/>
            </w:tcMar>
            <w:vAlign w:val="top"/>
          </w:tcPr>
          <w:p>
            <w:pPr>
              <w:spacing w:line="240" w:lineRule="auto"/>
              <w:jc w:val="center"/>
            </w:pPr>
            <w:r>
              <w:rPr>
                <w:rFonts w:ascii="Times New Roman" w:cs="Times New Roman" w:eastAsia="Times New Roman" w:hAnsi="Times New Roman"/>
                <w:sz w:val="22"/>
                <w:szCs w:val="22"/>
              </w:rPr>
              <w:t xml:space="preserve">0.31</w:t>
            </w:r>
          </w:p>
        </w:tc>
        <w:tc>
          <w:tcPr>
            <w:tcBorders>
              <w:top w:val="single" w:color="666666" w:sz="4"/>
              <w:left w:val="single" w:color="666666" w:sz="4"/>
              <w:bottom w:val="single" w:color="666666" w:sz="4"/>
              <w:right w:val="single" w:color="666666" w:sz="4"/>
            </w:tcBorders>
            <w:tcMar>
              <w:top w:type="dxa" w:w="80"/>
              <w:left w:type="dxa" w:w="120"/>
              <w:bottom w:type="dxa" w:w="80"/>
              <w:right w:type="dxa" w:w="120"/>
            </w:tcMar>
            <w:vAlign w:val="top"/>
          </w:tcPr>
          <w:p>
            <w:pPr>
              <w:spacing w:line="240" w:lineRule="auto"/>
              <w:jc w:val="center"/>
            </w:pPr>
            <w:r>
              <w:rPr>
                <w:rFonts w:ascii="Times New Roman" w:cs="Times New Roman" w:eastAsia="Times New Roman" w:hAnsi="Times New Roman"/>
                <w:sz w:val="22"/>
                <w:szCs w:val="22"/>
              </w:rPr>
              <w:t xml:space="preserve">0.06</w:t>
            </w:r>
          </w:p>
        </w:tc>
        <w:tc>
          <w:tcPr>
            <w:tcBorders>
              <w:top w:val="single" w:color="666666" w:sz="4"/>
              <w:left w:val="single" w:color="666666" w:sz="4"/>
              <w:bottom w:val="single" w:color="666666" w:sz="4"/>
              <w:right w:val="single" w:color="666666" w:sz="4"/>
            </w:tcBorders>
            <w:tcMar>
              <w:top w:type="dxa" w:w="80"/>
              <w:left w:type="dxa" w:w="120"/>
              <w:bottom w:type="dxa" w:w="80"/>
              <w:right w:type="dxa" w:w="120"/>
            </w:tcMar>
            <w:vAlign w:val="top"/>
          </w:tcPr>
          <w:p>
            <w:pPr>
              <w:spacing w:line="240" w:lineRule="auto"/>
              <w:jc w:val="center"/>
            </w:pPr>
            <w:r>
              <w:rPr>
                <w:rFonts w:ascii="Times New Roman" w:cs="Times New Roman" w:eastAsia="Times New Roman" w:hAnsi="Times New Roman"/>
                <w:sz w:val="22"/>
                <w:szCs w:val="22"/>
              </w:rPr>
              <w:t xml:space="preserve">✓</w:t>
            </w:r>
          </w:p>
        </w:tc>
        <w:tc>
          <w:tcPr>
            <w:tcBorders>
              <w:top w:val="single" w:color="666666" w:sz="4"/>
              <w:left w:val="single" w:color="666666" w:sz="4"/>
              <w:bottom w:val="single" w:color="666666" w:sz="4"/>
              <w:right w:val="single" w:color="666666" w:sz="4"/>
            </w:tcBorders>
            <w:tcMar>
              <w:top w:type="dxa" w:w="80"/>
              <w:left w:type="dxa" w:w="120"/>
              <w:bottom w:type="dxa" w:w="80"/>
              <w:right w:type="dxa" w:w="120"/>
            </w:tcMar>
            <w:vAlign w:val="top"/>
          </w:tcPr>
          <w:p>
            <w:pPr>
              <w:spacing w:line="240" w:lineRule="auto"/>
              <w:jc w:val="center"/>
            </w:pPr>
            <w:r>
              <w:rPr>
                <w:rFonts w:ascii="Times New Roman" w:cs="Times New Roman" w:eastAsia="Times New Roman" w:hAnsi="Times New Roman"/>
                <w:sz w:val="22"/>
                <w:szCs w:val="22"/>
              </w:rPr>
              <w:t xml:space="preserve">Yes</w:t>
            </w:r>
          </w:p>
        </w:tc>
      </w:tr>
      <w:tr>
        <w:tc>
          <w:tcPr>
            <w:tcBorders>
              <w:top w:val="single" w:color="666666" w:sz="4"/>
              <w:left w:val="single" w:color="666666" w:sz="4"/>
              <w:bottom w:val="single" w:color="666666" w:sz="4"/>
              <w:right w:val="single" w:color="666666" w:sz="4"/>
            </w:tcBorders>
            <w:tcMar>
              <w:top w:type="dxa" w:w="80"/>
              <w:left w:type="dxa" w:w="120"/>
              <w:bottom w:type="dxa" w:w="80"/>
              <w:right w:type="dxa" w:w="120"/>
            </w:tcMar>
            <w:vAlign w:val="top"/>
          </w:tcPr>
          <w:p>
            <w:pPr>
              <w:spacing w:line="240" w:lineRule="auto"/>
              <w:jc w:val="left"/>
            </w:pPr>
            <w:r>
              <w:rPr>
                <w:rFonts w:ascii="Times New Roman" w:cs="Times New Roman" w:eastAsia="Times New Roman" w:hAnsi="Times New Roman"/>
                <w:sz w:val="22"/>
                <w:szCs w:val="22"/>
              </w:rPr>
              <w:t xml:space="preserve">Pretest Caring total</w:t>
            </w:r>
          </w:p>
        </w:tc>
        <w:tc>
          <w:tcPr>
            <w:tcBorders>
              <w:top w:val="single" w:color="666666" w:sz="4"/>
              <w:left w:val="single" w:color="666666" w:sz="4"/>
              <w:bottom w:val="single" w:color="666666" w:sz="4"/>
              <w:right w:val="single" w:color="666666" w:sz="4"/>
            </w:tcBorders>
            <w:tcMar>
              <w:top w:type="dxa" w:w="80"/>
              <w:left w:type="dxa" w:w="120"/>
              <w:bottom w:type="dxa" w:w="80"/>
              <w:right w:type="dxa" w:w="120"/>
            </w:tcMar>
            <w:vAlign w:val="top"/>
          </w:tcPr>
          <w:p>
            <w:pPr>
              <w:spacing w:line="240" w:lineRule="auto"/>
              <w:jc w:val="center"/>
            </w:pPr>
            <w:r>
              <w:rPr>
                <w:rFonts w:ascii="Times New Roman" w:cs="Times New Roman" w:eastAsia="Times New Roman" w:hAnsi="Times New Roman"/>
                <w:sz w:val="22"/>
                <w:szCs w:val="22"/>
              </w:rPr>
              <w:t xml:space="preserve">0.43</w:t>
            </w:r>
          </w:p>
        </w:tc>
        <w:tc>
          <w:tcPr>
            <w:tcBorders>
              <w:top w:val="single" w:color="666666" w:sz="4"/>
              <w:left w:val="single" w:color="666666" w:sz="4"/>
              <w:bottom w:val="single" w:color="666666" w:sz="4"/>
              <w:right w:val="single" w:color="666666" w:sz="4"/>
            </w:tcBorders>
            <w:tcMar>
              <w:top w:type="dxa" w:w="80"/>
              <w:left w:type="dxa" w:w="120"/>
              <w:bottom w:type="dxa" w:w="80"/>
              <w:right w:type="dxa" w:w="120"/>
            </w:tcMar>
            <w:vAlign w:val="top"/>
          </w:tcPr>
          <w:p>
            <w:pPr>
              <w:spacing w:line="240" w:lineRule="auto"/>
              <w:jc w:val="center"/>
            </w:pPr>
            <w:r>
              <w:rPr>
                <w:rFonts w:ascii="Times New Roman" w:cs="Times New Roman" w:eastAsia="Times New Roman" w:hAnsi="Times New Roman"/>
                <w:sz w:val="22"/>
                <w:szCs w:val="22"/>
              </w:rPr>
              <w:t xml:space="preserve">0.08</w:t>
            </w:r>
          </w:p>
        </w:tc>
        <w:tc>
          <w:tcPr>
            <w:tcBorders>
              <w:top w:val="single" w:color="666666" w:sz="4"/>
              <w:left w:val="single" w:color="666666" w:sz="4"/>
              <w:bottom w:val="single" w:color="666666" w:sz="4"/>
              <w:right w:val="single" w:color="666666" w:sz="4"/>
            </w:tcBorders>
            <w:tcMar>
              <w:top w:type="dxa" w:w="80"/>
              <w:left w:type="dxa" w:w="120"/>
              <w:bottom w:type="dxa" w:w="80"/>
              <w:right w:type="dxa" w:w="120"/>
            </w:tcMar>
            <w:vAlign w:val="top"/>
          </w:tcPr>
          <w:p>
            <w:pPr>
              <w:spacing w:line="240" w:lineRule="auto"/>
              <w:jc w:val="center"/>
            </w:pPr>
            <w:r>
              <w:rPr>
                <w:rFonts w:ascii="Times New Roman" w:cs="Times New Roman" w:eastAsia="Times New Roman" w:hAnsi="Times New Roman"/>
                <w:sz w:val="22"/>
                <w:szCs w:val="22"/>
              </w:rPr>
              <w:t xml:space="preserve">✓</w:t>
            </w:r>
          </w:p>
        </w:tc>
        <w:tc>
          <w:tcPr>
            <w:tcBorders>
              <w:top w:val="single" w:color="666666" w:sz="4"/>
              <w:left w:val="single" w:color="666666" w:sz="4"/>
              <w:bottom w:val="single" w:color="666666" w:sz="4"/>
              <w:right w:val="single" w:color="666666" w:sz="4"/>
            </w:tcBorders>
            <w:tcMar>
              <w:top w:type="dxa" w:w="80"/>
              <w:left w:type="dxa" w:w="120"/>
              <w:bottom w:type="dxa" w:w="80"/>
              <w:right w:type="dxa" w:w="120"/>
            </w:tcMar>
            <w:vAlign w:val="top"/>
          </w:tcPr>
          <w:p>
            <w:pPr>
              <w:spacing w:line="240" w:lineRule="auto"/>
              <w:jc w:val="center"/>
            </w:pPr>
            <w:r>
              <w:rPr>
                <w:rFonts w:ascii="Times New Roman" w:cs="Times New Roman" w:eastAsia="Times New Roman" w:hAnsi="Times New Roman"/>
                <w:sz w:val="22"/>
                <w:szCs w:val="22"/>
              </w:rPr>
              <w:t xml:space="preserve">Yes</w:t>
            </w:r>
          </w:p>
        </w:tc>
      </w:tr>
    </w:tbl>
    <w:p>
      <w:pPr>
        <w:spacing w:line="360" w:lineRule="auto"/>
        <w:jc w:val="left"/>
      </w:pPr>
      <w:r>
        <w:rPr>
          <w:rFonts w:ascii="Times New Roman" w:cs="Times New Roman" w:eastAsia="Times New Roman" w:hAnsi="Times New Roman"/>
          <w:sz w:val="22"/>
          <w:szCs w:val="22"/>
        </w:rPr>
        <w:t xml:space="preserve"/>
      </w:r>
    </w:p>
    <w:p>
      <w:pPr>
        <w:spacing w:line="240" w:lineRule="auto"/>
        <w:jc w:val="left"/>
      </w:pPr>
      <w:r>
        <w:rPr>
          <w:rFonts w:ascii="Times New Roman" w:cs="Times New Roman" w:eastAsia="Times New Roman" w:hAnsi="Times New Roman"/>
          <w:i/>
          <w:iCs/>
          <w:sz w:val="22"/>
          <w:szCs w:val="22"/>
        </w:rPr>
        <w:t xml:space="preserve">Note. SMD = standardised mean difference; IPTW = inverse-probability-of-treatment weighting; TCTDI = Taiwan Critical Thinking Disposition Inventory. The conventional threshold for adequate balance is |SMD| &lt; 0.10.</w:t>
      </w:r>
    </w:p>
    <w:p>
      <w:pPr>
        <w:spacing w:line="360" w:lineRule="auto"/>
        <w:jc w:val="left"/>
      </w:pPr>
      <w:r>
        <w:rPr>
          <w:rFonts w:ascii="Times New Roman" w:cs="Times New Roman" w:eastAsia="Times New Roman" w:hAnsi="Times New Roman"/>
          <w:sz w:val="22"/>
          <w:szCs w:val="22"/>
        </w:rPr>
        <w:t xml:space="preserve"/>
      </w:r>
    </w:p>
    <w:p>
      <w:pPr>
        <w:spacing w:before="150" w:line="360" w:lineRule="auto"/>
        <w:jc w:val="left"/>
      </w:pPr>
      <w:r>
        <w:rPr>
          <w:rFonts w:ascii="Times New Roman" w:cs="Times New Roman" w:eastAsia="Times New Roman" w:hAnsi="Times New Roman"/>
          <w:b/>
          <w:bCs/>
          <w:sz w:val="24"/>
          <w:szCs w:val="24"/>
        </w:rPr>
        <w:t xml:space="preserve">Diagnostic checks</w:t>
      </w:r>
    </w:p>
    <w:p>
      <w:pPr>
        <w:spacing w:line="360" w:lineRule="auto"/>
        <w:jc w:val="left"/>
      </w:pPr>
      <w:r>
        <w:rPr>
          <w:rFonts w:ascii="Times New Roman" w:cs="Times New Roman" w:eastAsia="Times New Roman" w:hAnsi="Times New Roman"/>
          <w:sz w:val="22"/>
          <w:szCs w:val="22"/>
        </w:rPr>
        <w:t xml:space="preserve">(a) Common support: The distribution of propensity scores overlapped substantially between groups (overlap region: 0.45–0.92), indicating sufficient common support for causal inference.</w:t>
      </w:r>
    </w:p>
    <w:p>
      <w:pPr>
        <w:spacing w:line="360" w:lineRule="auto"/>
        <w:jc w:val="left"/>
      </w:pPr>
      <w:r>
        <w:rPr>
          <w:rFonts w:ascii="Times New Roman" w:cs="Times New Roman" w:eastAsia="Times New Roman" w:hAnsi="Times New Roman"/>
          <w:sz w:val="22"/>
          <w:szCs w:val="22"/>
        </w:rPr>
        <w:t xml:space="preserve">(b) Extreme weights: No participant received a stabilised weight greater than 3.5 or less than 0.30 after truncation, indicating no single observation unduly influenced the IPTW-weighted estimates.</w:t>
      </w:r>
    </w:p>
    <w:p>
      <w:pPr>
        <w:spacing w:line="360" w:lineRule="auto"/>
        <w:jc w:val="left"/>
      </w:pPr>
      <w:r>
        <w:rPr>
          <w:rFonts w:ascii="Times New Roman" w:cs="Times New Roman" w:eastAsia="Times New Roman" w:hAnsi="Times New Roman"/>
          <w:sz w:val="22"/>
          <w:szCs w:val="22"/>
        </w:rPr>
        <w:t xml:space="preserve">(c) Effective sample size: Following IPTW, the effective sample size was 138 (vs. observed n = 142), suggesting weights were well-behaved and information loss was minimal.</w:t>
      </w:r>
    </w:p>
    <w:p>
      <w:pPr>
        <w:spacing w:line="360" w:lineRule="auto"/>
        <w:jc w:val="left"/>
      </w:pPr>
      <w:r>
        <w:rPr>
          <w:rFonts w:ascii="Times New Roman" w:cs="Times New Roman" w:eastAsia="Times New Roman" w:hAnsi="Times New Roman"/>
          <w:sz w:val="22"/>
          <w:szCs w:val="22"/>
        </w:rPr>
        <w:t xml:space="preserve"/>
      </w:r>
    </w:p>
    <w:p>
      <w:pPr>
        <w:spacing w:before="150" w:line="360" w:lineRule="auto"/>
        <w:jc w:val="left"/>
      </w:pPr>
      <w:r>
        <w:rPr>
          <w:rFonts w:ascii="Times New Roman" w:cs="Times New Roman" w:eastAsia="Times New Roman" w:hAnsi="Times New Roman"/>
          <w:b/>
          <w:bCs/>
          <w:sz w:val="24"/>
          <w:szCs w:val="24"/>
        </w:rPr>
        <w:t xml:space="preserve">Sensitivity analysis interpretation</w:t>
      </w:r>
    </w:p>
    <w:p>
      <w:pPr>
        <w:spacing w:line="360" w:lineRule="auto"/>
        <w:jc w:val="left"/>
      </w:pPr>
      <w:r>
        <w:rPr>
          <w:rFonts w:ascii="Times New Roman" w:cs="Times New Roman" w:eastAsia="Times New Roman" w:hAnsi="Times New Roman"/>
          <w:sz w:val="22"/>
          <w:szCs w:val="22"/>
        </w:rPr>
        <w:t xml:space="preserve">After IPTW weighting, the three primary significant findings (Group × Time interaction on Critical Thinking, between-group change on Systematic-Analytical Thinking, between-group change on Respect) remained statistically significant or marginally significant, with effect-size estimates within 8% of the unweighted estimates (see manuscript Table 4). This convergence indicates that the observed intervention effects are not attributable to measured baseline imbalances between groups, supporting the robustness of causal inferences within the limits of the quasi-experimental design [31, 32, 34].</w:t>
      </w:r>
    </w:p>
    <w:p>
      <w:pPr>
        <w:spacing w:line="360" w:lineRule="auto"/>
        <w:jc w:val="left"/>
      </w:pPr>
      <w:r>
        <w:rPr>
          <w:rFonts w:ascii="Times New Roman" w:cs="Times New Roman" w:eastAsia="Times New Roman" w:hAnsi="Times New Roman"/>
          <w:sz w:val="22"/>
          <w:szCs w:val="22"/>
        </w:rPr>
        <w:t xml:space="preserve"/>
      </w:r>
    </w:p>
    <w:p>
      <w:pPr>
        <w:spacing w:line="360" w:lineRule="auto"/>
        <w:jc w:val="left"/>
      </w:pPr>
      <w:r>
        <w:rPr>
          <w:rFonts w:ascii="Times New Roman" w:cs="Times New Roman" w:eastAsia="Times New Roman" w:hAnsi="Times New Roman"/>
          <w:i/>
          <w:iCs/>
          <w:sz w:val="22"/>
          <w:szCs w:val="22"/>
        </w:rPr>
        <w:t xml:space="preserve">References:</w:t>
      </w:r>
    </w:p>
    <w:p>
      <w:pPr>
        <w:spacing w:line="360" w:lineRule="auto"/>
        <w:jc w:val="left"/>
      </w:pPr>
      <w:r>
        <w:rPr>
          <w:rFonts w:ascii="Times New Roman" w:cs="Times New Roman" w:eastAsia="Times New Roman" w:hAnsi="Times New Roman"/>
          <w:sz w:val="22"/>
          <w:szCs w:val="22"/>
        </w:rPr>
        <w:t xml:space="preserve">[31] Rosenbaum PR. Biometrika. 1987;74(1):13–26.</w:t>
      </w:r>
    </w:p>
    <w:p>
      <w:pPr>
        <w:spacing w:line="360" w:lineRule="auto"/>
        <w:jc w:val="left"/>
      </w:pPr>
      <w:r>
        <w:rPr>
          <w:rFonts w:ascii="Times New Roman" w:cs="Times New Roman" w:eastAsia="Times New Roman" w:hAnsi="Times New Roman"/>
          <w:sz w:val="22"/>
          <w:szCs w:val="22"/>
        </w:rPr>
        <w:t xml:space="preserve">[32] Austin PC. Multivariate Behav Res. 2011;46(3):399–424.</w:t>
      </w:r>
    </w:p>
    <w:p>
      <w:pPr>
        <w:spacing w:line="360" w:lineRule="auto"/>
        <w:jc w:val="left"/>
      </w:pPr>
      <w:r>
        <w:rPr>
          <w:rFonts w:ascii="Times New Roman" w:cs="Times New Roman" w:eastAsia="Times New Roman" w:hAnsi="Times New Roman"/>
          <w:sz w:val="22"/>
          <w:szCs w:val="22"/>
        </w:rPr>
        <w:t xml:space="preserve">[33] Austin PC. Stat Med. 2009;28(25):3083–107.</w:t>
      </w:r>
    </w:p>
    <w:p>
      <w:pPr>
        <w:spacing w:line="360" w:lineRule="auto"/>
        <w:jc w:val="left"/>
      </w:pPr>
      <w:r>
        <w:rPr>
          <w:rFonts w:ascii="Times New Roman" w:cs="Times New Roman" w:eastAsia="Times New Roman" w:hAnsi="Times New Roman"/>
          <w:sz w:val="22"/>
          <w:szCs w:val="22"/>
        </w:rPr>
        <w:t xml:space="preserve">[34] Van Breukelen GJP. J Clin Epidemiol. 2006;59(9):920–5.</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2026-05-11T18:37:03.860Z</dcterms:created>
  <dcterms:modified xsi:type="dcterms:W3CDTF">2026-05-11T18:37:03.860Z</dcterms:modified>
</cp:coreProperties>
</file>

<file path=docProps/custom.xml><?xml version="1.0" encoding="utf-8"?>
<Properties xmlns="http://schemas.openxmlformats.org/officeDocument/2006/custom-properties" xmlns:vt="http://schemas.openxmlformats.org/officeDocument/2006/docPropsVTypes"/>
</file>