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69D4E" w14:textId="77777777" w:rsidR="007741C9" w:rsidRPr="007741C9" w:rsidRDefault="007741C9" w:rsidP="007741C9">
      <w:pPr>
        <w:spacing w:line="360" w:lineRule="auto"/>
        <w:rPr>
          <w:rFonts w:ascii="Times New Roman" w:hAnsi="Times New Roman" w:cs="Times New Roman"/>
          <w:b/>
          <w:bCs/>
          <w:sz w:val="24"/>
          <w:szCs w:val="24"/>
          <w:lang w:val="en-US"/>
        </w:rPr>
      </w:pPr>
      <w:r w:rsidRPr="007741C9">
        <w:rPr>
          <w:rFonts w:ascii="Times New Roman" w:hAnsi="Times New Roman" w:cs="Times New Roman"/>
          <w:b/>
          <w:bCs/>
          <w:sz w:val="24"/>
          <w:szCs w:val="24"/>
          <w:lang w:val="en-US"/>
        </w:rPr>
        <w:t>Supplementary Material S1</w:t>
      </w:r>
    </w:p>
    <w:p w14:paraId="7C5D84DC" w14:textId="77777777" w:rsidR="007741C9" w:rsidRPr="007741C9" w:rsidRDefault="007741C9" w:rsidP="007741C9">
      <w:pPr>
        <w:spacing w:line="360" w:lineRule="auto"/>
        <w:rPr>
          <w:rFonts w:ascii="Times New Roman" w:hAnsi="Times New Roman" w:cs="Times New Roman"/>
          <w:b/>
          <w:bCs/>
          <w:sz w:val="24"/>
          <w:szCs w:val="24"/>
          <w:lang w:val="en-US"/>
        </w:rPr>
      </w:pPr>
      <w:r w:rsidRPr="007741C9">
        <w:rPr>
          <w:rFonts w:ascii="Times New Roman" w:hAnsi="Times New Roman" w:cs="Times New Roman"/>
          <w:b/>
          <w:bCs/>
          <w:sz w:val="24"/>
          <w:szCs w:val="24"/>
          <w:lang w:val="en-US"/>
        </w:rPr>
        <w:t>Detailed Model Calculations and Excel Tool Prototype for Predicting Male Flowering Date in Chandler Walnut</w:t>
      </w:r>
    </w:p>
    <w:p w14:paraId="2ABEEFB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This document accompanies the main article:</w:t>
      </w:r>
      <w:r w:rsidRPr="007741C9">
        <w:rPr>
          <w:rFonts w:ascii="Times New Roman" w:hAnsi="Times New Roman" w:cs="Times New Roman"/>
          <w:sz w:val="24"/>
          <w:szCs w:val="24"/>
          <w:lang w:val="en-US"/>
        </w:rPr>
        <w:t> </w:t>
      </w:r>
      <w:r w:rsidRPr="007741C9">
        <w:rPr>
          <w:rFonts w:ascii="Times New Roman" w:hAnsi="Times New Roman" w:cs="Times New Roman"/>
          <w:i/>
          <w:iCs/>
          <w:sz w:val="24"/>
          <w:szCs w:val="24"/>
          <w:lang w:val="en-US"/>
        </w:rPr>
        <w:t>Interannual Variability of Male and Female Flowering Phenology in Chandler Walnut in the Marmara Region, an Observational and Mechanistic Analysis</w:t>
      </w:r>
    </w:p>
    <w:p w14:paraId="53264C9F" w14:textId="77777777" w:rsidR="007741C9" w:rsidRPr="007741C9" w:rsidRDefault="007741C9" w:rsidP="007741C9">
      <w:pPr>
        <w:spacing w:line="360" w:lineRule="auto"/>
        <w:rPr>
          <w:rFonts w:ascii="Times New Roman" w:hAnsi="Times New Roman" w:cs="Times New Roman"/>
          <w:b/>
          <w:bCs/>
          <w:sz w:val="24"/>
          <w:szCs w:val="24"/>
          <w:lang w:val="en-US"/>
        </w:rPr>
      </w:pPr>
      <w:r w:rsidRPr="007741C9">
        <w:rPr>
          <w:rFonts w:ascii="Times New Roman" w:hAnsi="Times New Roman" w:cs="Times New Roman"/>
          <w:b/>
          <w:bCs/>
          <w:sz w:val="24"/>
          <w:szCs w:val="24"/>
          <w:lang w:val="en-US"/>
        </w:rPr>
        <w:t>S1.1. Complete Stepwise Decision Tree Algorithm</w:t>
      </w:r>
    </w:p>
    <w:p w14:paraId="7F564BFF"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Due to limited observational data (three years, 2024–2026), a full regression equation could not be developed. Instead, a </w:t>
      </w:r>
      <w:r w:rsidRPr="007741C9">
        <w:rPr>
          <w:rFonts w:ascii="Times New Roman" w:hAnsi="Times New Roman" w:cs="Times New Roman"/>
          <w:b/>
          <w:bCs/>
          <w:sz w:val="24"/>
          <w:szCs w:val="24"/>
          <w:lang w:val="en-US"/>
        </w:rPr>
        <w:t>stepwise decision tree</w:t>
      </w:r>
      <w:r w:rsidRPr="007741C9">
        <w:rPr>
          <w:rFonts w:ascii="Times New Roman" w:hAnsi="Times New Roman" w:cs="Times New Roman"/>
          <w:sz w:val="24"/>
          <w:szCs w:val="24"/>
          <w:lang w:val="en-US"/>
        </w:rPr>
        <w:t> approach was adopted. In future years, with more data, this approach can be converted into multiple linear regression or machine learning methods.</w:t>
      </w:r>
    </w:p>
    <w:p w14:paraId="399E4571"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Step 1: Initial adjustment according to irrigation regime (Δ₁)</w:t>
      </w:r>
    </w:p>
    <w:tbl>
      <w:tblPr>
        <w:tblW w:w="9873" w:type="dxa"/>
        <w:tblCellMar>
          <w:top w:w="15" w:type="dxa"/>
          <w:left w:w="15" w:type="dxa"/>
          <w:bottom w:w="15" w:type="dxa"/>
          <w:right w:w="15" w:type="dxa"/>
        </w:tblCellMar>
        <w:tblLook w:val="04A0" w:firstRow="1" w:lastRow="0" w:firstColumn="1" w:lastColumn="0" w:noHBand="0" w:noVBand="1"/>
      </w:tblPr>
      <w:tblGrid>
        <w:gridCol w:w="6057"/>
        <w:gridCol w:w="2290"/>
        <w:gridCol w:w="1526"/>
      </w:tblGrid>
      <w:tr w:rsidR="007741C9" w:rsidRPr="007741C9" w14:paraId="1BE90BF8" w14:textId="77777777" w:rsidTr="007741C9">
        <w:trPr>
          <w:trHeight w:val="589"/>
          <w:tblHeader/>
        </w:trPr>
        <w:tc>
          <w:tcPr>
            <w:tcW w:w="0" w:type="auto"/>
            <w:tcBorders>
              <w:top w:val="nil"/>
            </w:tcBorders>
            <w:tcMar>
              <w:top w:w="150" w:type="dxa"/>
              <w:left w:w="0" w:type="dxa"/>
              <w:bottom w:w="150" w:type="dxa"/>
              <w:right w:w="240" w:type="dxa"/>
            </w:tcMar>
            <w:vAlign w:val="center"/>
            <w:hideMark/>
          </w:tcPr>
          <w:p w14:paraId="07DAC1D7"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Irrigation Regime (previous year August–September)</w:t>
            </w:r>
          </w:p>
        </w:tc>
        <w:tc>
          <w:tcPr>
            <w:tcW w:w="0" w:type="auto"/>
            <w:tcBorders>
              <w:top w:val="nil"/>
            </w:tcBorders>
            <w:tcMar>
              <w:top w:w="150" w:type="dxa"/>
              <w:left w:w="240" w:type="dxa"/>
              <w:bottom w:w="150" w:type="dxa"/>
              <w:right w:w="240" w:type="dxa"/>
            </w:tcMar>
            <w:vAlign w:val="center"/>
            <w:hideMark/>
          </w:tcPr>
          <w:p w14:paraId="6E4B1B03"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Deviation (days)</w:t>
            </w:r>
          </w:p>
        </w:tc>
        <w:tc>
          <w:tcPr>
            <w:tcW w:w="0" w:type="auto"/>
            <w:tcBorders>
              <w:top w:val="nil"/>
            </w:tcBorders>
            <w:tcMar>
              <w:top w:w="150" w:type="dxa"/>
              <w:left w:w="240" w:type="dxa"/>
              <w:bottom w:w="150" w:type="dxa"/>
              <w:right w:w="240" w:type="dxa"/>
            </w:tcMar>
            <w:vAlign w:val="center"/>
            <w:hideMark/>
          </w:tcPr>
          <w:p w14:paraId="52582DFC"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Direction</w:t>
            </w:r>
          </w:p>
        </w:tc>
      </w:tr>
      <w:tr w:rsidR="007741C9" w:rsidRPr="007741C9" w14:paraId="5F7994CB" w14:textId="77777777" w:rsidTr="007741C9">
        <w:trPr>
          <w:trHeight w:val="589"/>
        </w:trPr>
        <w:tc>
          <w:tcPr>
            <w:tcW w:w="0" w:type="auto"/>
            <w:tcMar>
              <w:top w:w="150" w:type="dxa"/>
              <w:left w:w="0" w:type="dxa"/>
              <w:bottom w:w="150" w:type="dxa"/>
              <w:right w:w="240" w:type="dxa"/>
            </w:tcMar>
            <w:vAlign w:val="center"/>
            <w:hideMark/>
          </w:tcPr>
          <w:p w14:paraId="567CE064"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No irrigation (0%)</w:t>
            </w:r>
          </w:p>
        </w:tc>
        <w:tc>
          <w:tcPr>
            <w:tcW w:w="0" w:type="auto"/>
            <w:tcMar>
              <w:top w:w="150" w:type="dxa"/>
              <w:left w:w="240" w:type="dxa"/>
              <w:bottom w:w="150" w:type="dxa"/>
              <w:right w:w="240" w:type="dxa"/>
            </w:tcMar>
            <w:vAlign w:val="center"/>
            <w:hideMark/>
          </w:tcPr>
          <w:p w14:paraId="0FB9381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0</w:t>
            </w:r>
          </w:p>
        </w:tc>
        <w:tc>
          <w:tcPr>
            <w:tcW w:w="0" w:type="auto"/>
            <w:tcMar>
              <w:top w:w="150" w:type="dxa"/>
              <w:left w:w="240" w:type="dxa"/>
              <w:bottom w:w="150" w:type="dxa"/>
              <w:right w:w="0" w:type="dxa"/>
            </w:tcMar>
            <w:vAlign w:val="center"/>
            <w:hideMark/>
          </w:tcPr>
          <w:p w14:paraId="4FAA9DE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Reference</w:t>
            </w:r>
          </w:p>
        </w:tc>
      </w:tr>
      <w:tr w:rsidR="007741C9" w:rsidRPr="007741C9" w14:paraId="195EC677" w14:textId="77777777" w:rsidTr="007741C9">
        <w:trPr>
          <w:trHeight w:val="576"/>
        </w:trPr>
        <w:tc>
          <w:tcPr>
            <w:tcW w:w="0" w:type="auto"/>
            <w:tcMar>
              <w:top w:w="150" w:type="dxa"/>
              <w:left w:w="0" w:type="dxa"/>
              <w:bottom w:w="150" w:type="dxa"/>
              <w:right w:w="240" w:type="dxa"/>
            </w:tcMar>
            <w:vAlign w:val="center"/>
            <w:hideMark/>
          </w:tcPr>
          <w:p w14:paraId="564E07B6"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Full and regular irrigation</w:t>
            </w:r>
          </w:p>
        </w:tc>
        <w:tc>
          <w:tcPr>
            <w:tcW w:w="0" w:type="auto"/>
            <w:tcMar>
              <w:top w:w="150" w:type="dxa"/>
              <w:left w:w="240" w:type="dxa"/>
              <w:bottom w:w="150" w:type="dxa"/>
              <w:right w:w="240" w:type="dxa"/>
            </w:tcMar>
            <w:vAlign w:val="center"/>
            <w:hideMark/>
          </w:tcPr>
          <w:p w14:paraId="0A8AB467"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-5</w:t>
            </w:r>
          </w:p>
        </w:tc>
        <w:tc>
          <w:tcPr>
            <w:tcW w:w="0" w:type="auto"/>
            <w:tcMar>
              <w:top w:w="150" w:type="dxa"/>
              <w:left w:w="240" w:type="dxa"/>
              <w:bottom w:w="150" w:type="dxa"/>
              <w:right w:w="0" w:type="dxa"/>
            </w:tcMar>
            <w:vAlign w:val="center"/>
            <w:hideMark/>
          </w:tcPr>
          <w:p w14:paraId="06377A62"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Early</w:t>
            </w:r>
          </w:p>
        </w:tc>
      </w:tr>
      <w:tr w:rsidR="007741C9" w:rsidRPr="007741C9" w14:paraId="7FC45DA1" w14:textId="77777777" w:rsidTr="007741C9">
        <w:trPr>
          <w:trHeight w:val="589"/>
        </w:trPr>
        <w:tc>
          <w:tcPr>
            <w:tcW w:w="0" w:type="auto"/>
            <w:tcMar>
              <w:top w:w="150" w:type="dxa"/>
              <w:left w:w="0" w:type="dxa"/>
              <w:bottom w:w="150" w:type="dxa"/>
              <w:right w:w="240" w:type="dxa"/>
            </w:tcMar>
            <w:vAlign w:val="center"/>
            <w:hideMark/>
          </w:tcPr>
          <w:p w14:paraId="63F073EF"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Intermittent, insufficient irrigation (10–15%)</w:t>
            </w:r>
          </w:p>
        </w:tc>
        <w:tc>
          <w:tcPr>
            <w:tcW w:w="0" w:type="auto"/>
            <w:tcMar>
              <w:top w:w="150" w:type="dxa"/>
              <w:left w:w="240" w:type="dxa"/>
              <w:bottom w:w="150" w:type="dxa"/>
              <w:right w:w="240" w:type="dxa"/>
            </w:tcMar>
            <w:vAlign w:val="center"/>
            <w:hideMark/>
          </w:tcPr>
          <w:p w14:paraId="1A9C7437"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-10</w:t>
            </w:r>
          </w:p>
        </w:tc>
        <w:tc>
          <w:tcPr>
            <w:tcW w:w="0" w:type="auto"/>
            <w:tcMar>
              <w:top w:w="150" w:type="dxa"/>
              <w:left w:w="240" w:type="dxa"/>
              <w:bottom w:w="150" w:type="dxa"/>
              <w:right w:w="0" w:type="dxa"/>
            </w:tcMar>
            <w:vAlign w:val="center"/>
            <w:hideMark/>
          </w:tcPr>
          <w:p w14:paraId="7F231407"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Early</w:t>
            </w:r>
          </w:p>
        </w:tc>
      </w:tr>
    </w:tbl>
    <w:p w14:paraId="13A728F7" w14:textId="77777777" w:rsidR="007741C9" w:rsidRDefault="007741C9" w:rsidP="007741C9">
      <w:pPr>
        <w:spacing w:line="360" w:lineRule="auto"/>
        <w:rPr>
          <w:rFonts w:ascii="Times New Roman" w:hAnsi="Times New Roman" w:cs="Times New Roman"/>
          <w:b/>
          <w:bCs/>
          <w:sz w:val="24"/>
          <w:szCs w:val="24"/>
          <w:lang w:val="en-US"/>
        </w:rPr>
      </w:pPr>
    </w:p>
    <w:p w14:paraId="2B48EAE4" w14:textId="0C362146"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Theoretical basis:</w:t>
      </w:r>
      <w:r w:rsidRPr="007741C9">
        <w:rPr>
          <w:rFonts w:ascii="Times New Roman" w:hAnsi="Times New Roman" w:cs="Times New Roman"/>
          <w:sz w:val="24"/>
          <w:szCs w:val="24"/>
          <w:lang w:val="en-US"/>
        </w:rPr>
        <w:t> Insufficient and intermittent irrigation creates repeated water stress, depletes carbon reserves, and keeps the tree in continuous "active" mode, causing abnormally early male flowering the following spring (see main text Section 6).</w:t>
      </w:r>
    </w:p>
    <w:p w14:paraId="2767FAFB" w14:textId="0EDB377E" w:rsidR="007741C9" w:rsidRDefault="007741C9" w:rsidP="007741C9">
      <w:pPr>
        <w:spacing w:line="360" w:lineRule="auto"/>
        <w:rPr>
          <w:rFonts w:ascii="Times New Roman" w:hAnsi="Times New Roman" w:cs="Times New Roman"/>
          <w:sz w:val="24"/>
          <w:szCs w:val="24"/>
          <w:lang w:val="en-US"/>
        </w:rPr>
      </w:pPr>
    </w:p>
    <w:p w14:paraId="30D9B3C0" w14:textId="77777777" w:rsidR="007741C9" w:rsidRDefault="007741C9" w:rsidP="007741C9">
      <w:pPr>
        <w:spacing w:line="360" w:lineRule="auto"/>
        <w:rPr>
          <w:rFonts w:ascii="Times New Roman" w:hAnsi="Times New Roman" w:cs="Times New Roman"/>
          <w:sz w:val="24"/>
          <w:szCs w:val="24"/>
          <w:lang w:val="en-US"/>
        </w:rPr>
      </w:pPr>
    </w:p>
    <w:p w14:paraId="462A94F6" w14:textId="77777777" w:rsidR="007741C9" w:rsidRPr="007741C9" w:rsidRDefault="007741C9" w:rsidP="007741C9">
      <w:pPr>
        <w:spacing w:line="360" w:lineRule="auto"/>
        <w:rPr>
          <w:rFonts w:ascii="Times New Roman" w:hAnsi="Times New Roman" w:cs="Times New Roman"/>
          <w:sz w:val="24"/>
          <w:szCs w:val="24"/>
          <w:lang w:val="en-US"/>
        </w:rPr>
      </w:pPr>
    </w:p>
    <w:p w14:paraId="5B1433F7"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lastRenderedPageBreak/>
        <w:t>Step 2: Second adjustment according to November–April precipitation (Δ₂)</w:t>
      </w:r>
    </w:p>
    <w:tbl>
      <w:tblPr>
        <w:tblW w:w="10042" w:type="dxa"/>
        <w:tblCellMar>
          <w:top w:w="15" w:type="dxa"/>
          <w:left w:w="15" w:type="dxa"/>
          <w:bottom w:w="15" w:type="dxa"/>
          <w:right w:w="15" w:type="dxa"/>
        </w:tblCellMar>
        <w:tblLook w:val="04A0" w:firstRow="1" w:lastRow="0" w:firstColumn="1" w:lastColumn="0" w:noHBand="0" w:noVBand="1"/>
      </w:tblPr>
      <w:tblGrid>
        <w:gridCol w:w="5281"/>
        <w:gridCol w:w="2857"/>
        <w:gridCol w:w="1904"/>
      </w:tblGrid>
      <w:tr w:rsidR="007741C9" w:rsidRPr="007741C9" w14:paraId="1278EFE9" w14:textId="77777777" w:rsidTr="007741C9">
        <w:trPr>
          <w:trHeight w:val="557"/>
          <w:tblHeader/>
        </w:trPr>
        <w:tc>
          <w:tcPr>
            <w:tcW w:w="0" w:type="auto"/>
            <w:tcBorders>
              <w:top w:val="nil"/>
            </w:tcBorders>
            <w:tcMar>
              <w:top w:w="150" w:type="dxa"/>
              <w:left w:w="0" w:type="dxa"/>
              <w:bottom w:w="150" w:type="dxa"/>
              <w:right w:w="240" w:type="dxa"/>
            </w:tcMar>
            <w:vAlign w:val="center"/>
            <w:hideMark/>
          </w:tcPr>
          <w:p w14:paraId="311A8131"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November–April Precipitation (mm)</w:t>
            </w:r>
          </w:p>
        </w:tc>
        <w:tc>
          <w:tcPr>
            <w:tcW w:w="0" w:type="auto"/>
            <w:tcBorders>
              <w:top w:val="nil"/>
            </w:tcBorders>
            <w:tcMar>
              <w:top w:w="150" w:type="dxa"/>
              <w:left w:w="240" w:type="dxa"/>
              <w:bottom w:w="150" w:type="dxa"/>
              <w:right w:w="240" w:type="dxa"/>
            </w:tcMar>
            <w:vAlign w:val="center"/>
            <w:hideMark/>
          </w:tcPr>
          <w:p w14:paraId="60DB154F"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Deviation (days)</w:t>
            </w:r>
          </w:p>
        </w:tc>
        <w:tc>
          <w:tcPr>
            <w:tcW w:w="0" w:type="auto"/>
            <w:tcBorders>
              <w:top w:val="nil"/>
            </w:tcBorders>
            <w:tcMar>
              <w:top w:w="150" w:type="dxa"/>
              <w:left w:w="240" w:type="dxa"/>
              <w:bottom w:w="150" w:type="dxa"/>
              <w:right w:w="240" w:type="dxa"/>
            </w:tcMar>
            <w:vAlign w:val="center"/>
            <w:hideMark/>
          </w:tcPr>
          <w:p w14:paraId="4FCD4FBD"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Direction</w:t>
            </w:r>
          </w:p>
        </w:tc>
      </w:tr>
      <w:tr w:rsidR="007741C9" w:rsidRPr="007741C9" w14:paraId="32878402" w14:textId="77777777" w:rsidTr="007741C9">
        <w:trPr>
          <w:trHeight w:val="557"/>
        </w:trPr>
        <w:tc>
          <w:tcPr>
            <w:tcW w:w="0" w:type="auto"/>
            <w:tcMar>
              <w:top w:w="150" w:type="dxa"/>
              <w:left w:w="0" w:type="dxa"/>
              <w:bottom w:w="150" w:type="dxa"/>
              <w:right w:w="240" w:type="dxa"/>
            </w:tcMar>
            <w:vAlign w:val="center"/>
            <w:hideMark/>
          </w:tcPr>
          <w:p w14:paraId="449886D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&gt; 100</w:t>
            </w:r>
          </w:p>
        </w:tc>
        <w:tc>
          <w:tcPr>
            <w:tcW w:w="0" w:type="auto"/>
            <w:tcMar>
              <w:top w:w="150" w:type="dxa"/>
              <w:left w:w="240" w:type="dxa"/>
              <w:bottom w:w="150" w:type="dxa"/>
              <w:right w:w="240" w:type="dxa"/>
            </w:tcMar>
            <w:vAlign w:val="center"/>
            <w:hideMark/>
          </w:tcPr>
          <w:p w14:paraId="2A7A1E6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0</w:t>
            </w:r>
          </w:p>
        </w:tc>
        <w:tc>
          <w:tcPr>
            <w:tcW w:w="0" w:type="auto"/>
            <w:tcMar>
              <w:top w:w="150" w:type="dxa"/>
              <w:left w:w="240" w:type="dxa"/>
              <w:bottom w:w="150" w:type="dxa"/>
              <w:right w:w="0" w:type="dxa"/>
            </w:tcMar>
            <w:vAlign w:val="center"/>
            <w:hideMark/>
          </w:tcPr>
          <w:p w14:paraId="29EE3582"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No effect</w:t>
            </w:r>
          </w:p>
        </w:tc>
      </w:tr>
      <w:tr w:rsidR="007741C9" w:rsidRPr="007741C9" w14:paraId="139BE9A7" w14:textId="77777777" w:rsidTr="007741C9">
        <w:trPr>
          <w:trHeight w:val="545"/>
        </w:trPr>
        <w:tc>
          <w:tcPr>
            <w:tcW w:w="0" w:type="auto"/>
            <w:tcMar>
              <w:top w:w="150" w:type="dxa"/>
              <w:left w:w="0" w:type="dxa"/>
              <w:bottom w:w="150" w:type="dxa"/>
              <w:right w:w="240" w:type="dxa"/>
            </w:tcMar>
            <w:vAlign w:val="center"/>
            <w:hideMark/>
          </w:tcPr>
          <w:p w14:paraId="13E01B05"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70 – 100</w:t>
            </w:r>
          </w:p>
        </w:tc>
        <w:tc>
          <w:tcPr>
            <w:tcW w:w="0" w:type="auto"/>
            <w:tcMar>
              <w:top w:w="150" w:type="dxa"/>
              <w:left w:w="240" w:type="dxa"/>
              <w:bottom w:w="150" w:type="dxa"/>
              <w:right w:w="240" w:type="dxa"/>
            </w:tcMar>
            <w:vAlign w:val="center"/>
            <w:hideMark/>
          </w:tcPr>
          <w:p w14:paraId="17793D93"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-3</w:t>
            </w:r>
          </w:p>
        </w:tc>
        <w:tc>
          <w:tcPr>
            <w:tcW w:w="0" w:type="auto"/>
            <w:tcMar>
              <w:top w:w="150" w:type="dxa"/>
              <w:left w:w="240" w:type="dxa"/>
              <w:bottom w:w="150" w:type="dxa"/>
              <w:right w:w="0" w:type="dxa"/>
            </w:tcMar>
            <w:vAlign w:val="center"/>
            <w:hideMark/>
          </w:tcPr>
          <w:p w14:paraId="213BF111"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Early</w:t>
            </w:r>
          </w:p>
        </w:tc>
      </w:tr>
      <w:tr w:rsidR="007741C9" w:rsidRPr="007741C9" w14:paraId="676327D6" w14:textId="77777777" w:rsidTr="007741C9">
        <w:trPr>
          <w:trHeight w:val="557"/>
        </w:trPr>
        <w:tc>
          <w:tcPr>
            <w:tcW w:w="0" w:type="auto"/>
            <w:tcMar>
              <w:top w:w="150" w:type="dxa"/>
              <w:left w:w="0" w:type="dxa"/>
              <w:bottom w:w="150" w:type="dxa"/>
              <w:right w:w="240" w:type="dxa"/>
            </w:tcMar>
            <w:vAlign w:val="center"/>
            <w:hideMark/>
          </w:tcPr>
          <w:p w14:paraId="5F5F624A"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50 – 70</w:t>
            </w:r>
          </w:p>
        </w:tc>
        <w:tc>
          <w:tcPr>
            <w:tcW w:w="0" w:type="auto"/>
            <w:tcMar>
              <w:top w:w="150" w:type="dxa"/>
              <w:left w:w="240" w:type="dxa"/>
              <w:bottom w:w="150" w:type="dxa"/>
              <w:right w:w="240" w:type="dxa"/>
            </w:tcMar>
            <w:vAlign w:val="center"/>
            <w:hideMark/>
          </w:tcPr>
          <w:p w14:paraId="694A9AA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-6</w:t>
            </w:r>
          </w:p>
        </w:tc>
        <w:tc>
          <w:tcPr>
            <w:tcW w:w="0" w:type="auto"/>
            <w:tcMar>
              <w:top w:w="150" w:type="dxa"/>
              <w:left w:w="240" w:type="dxa"/>
              <w:bottom w:w="150" w:type="dxa"/>
              <w:right w:w="0" w:type="dxa"/>
            </w:tcMar>
            <w:vAlign w:val="center"/>
            <w:hideMark/>
          </w:tcPr>
          <w:p w14:paraId="6E1CF154"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Early</w:t>
            </w:r>
          </w:p>
        </w:tc>
      </w:tr>
      <w:tr w:rsidR="007741C9" w:rsidRPr="007741C9" w14:paraId="71CA659D" w14:textId="77777777" w:rsidTr="007741C9">
        <w:trPr>
          <w:trHeight w:val="557"/>
        </w:trPr>
        <w:tc>
          <w:tcPr>
            <w:tcW w:w="0" w:type="auto"/>
            <w:tcMar>
              <w:top w:w="150" w:type="dxa"/>
              <w:left w:w="0" w:type="dxa"/>
              <w:bottom w:w="150" w:type="dxa"/>
              <w:right w:w="240" w:type="dxa"/>
            </w:tcMar>
            <w:vAlign w:val="center"/>
            <w:hideMark/>
          </w:tcPr>
          <w:p w14:paraId="61FC348D"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&lt; 50</w:t>
            </w:r>
          </w:p>
        </w:tc>
        <w:tc>
          <w:tcPr>
            <w:tcW w:w="0" w:type="auto"/>
            <w:tcMar>
              <w:top w:w="150" w:type="dxa"/>
              <w:left w:w="240" w:type="dxa"/>
              <w:bottom w:w="150" w:type="dxa"/>
              <w:right w:w="240" w:type="dxa"/>
            </w:tcMar>
            <w:vAlign w:val="center"/>
            <w:hideMark/>
          </w:tcPr>
          <w:p w14:paraId="2378F013"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-10</w:t>
            </w:r>
          </w:p>
        </w:tc>
        <w:tc>
          <w:tcPr>
            <w:tcW w:w="0" w:type="auto"/>
            <w:tcMar>
              <w:top w:w="150" w:type="dxa"/>
              <w:left w:w="240" w:type="dxa"/>
              <w:bottom w:w="150" w:type="dxa"/>
              <w:right w:w="0" w:type="dxa"/>
            </w:tcMar>
            <w:vAlign w:val="center"/>
            <w:hideMark/>
          </w:tcPr>
          <w:p w14:paraId="719EBD20"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Early</w:t>
            </w:r>
          </w:p>
        </w:tc>
      </w:tr>
    </w:tbl>
    <w:p w14:paraId="7CA934F0"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Theoretical basis:</w:t>
      </w:r>
      <w:r w:rsidRPr="007741C9">
        <w:rPr>
          <w:rFonts w:ascii="Times New Roman" w:hAnsi="Times New Roman" w:cs="Times New Roman"/>
          <w:sz w:val="24"/>
          <w:szCs w:val="24"/>
          <w:lang w:val="en-US"/>
        </w:rPr>
        <w:t> Low precipitation strengthens water stress signals (ABA, etc.) through decreased soil moisture and rapid soil warming, triggering early generative activation (see main text Section 4.10 "Critical Hydrological Window Hypothesis").</w:t>
      </w:r>
    </w:p>
    <w:p w14:paraId="57A26A86"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Step 3: January–February chilling effect (Δ₃)</w:t>
      </w:r>
    </w:p>
    <w:p w14:paraId="0CDD7DA3"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The reference chilling requirement for the Chandler variety is taken as 800 hours (below +7°C) (Çavdar, 2020; Hassankhah et al., 2017).</w:t>
      </w:r>
    </w:p>
    <w:tbl>
      <w:tblPr>
        <w:tblW w:w="0" w:type="auto"/>
        <w:tblCellMar>
          <w:top w:w="15" w:type="dxa"/>
          <w:left w:w="15" w:type="dxa"/>
          <w:bottom w:w="15" w:type="dxa"/>
          <w:right w:w="15" w:type="dxa"/>
        </w:tblCellMar>
        <w:tblLook w:val="04A0" w:firstRow="1" w:lastRow="0" w:firstColumn="1" w:lastColumn="0" w:noHBand="0" w:noVBand="1"/>
      </w:tblPr>
      <w:tblGrid>
        <w:gridCol w:w="2659"/>
        <w:gridCol w:w="2509"/>
        <w:gridCol w:w="2154"/>
        <w:gridCol w:w="1436"/>
      </w:tblGrid>
      <w:tr w:rsidR="007741C9" w:rsidRPr="007741C9" w14:paraId="152ECF0C" w14:textId="77777777">
        <w:trPr>
          <w:tblHeader/>
        </w:trPr>
        <w:tc>
          <w:tcPr>
            <w:tcW w:w="0" w:type="auto"/>
            <w:tcBorders>
              <w:top w:val="nil"/>
            </w:tcBorders>
            <w:tcMar>
              <w:top w:w="150" w:type="dxa"/>
              <w:left w:w="0" w:type="dxa"/>
              <w:bottom w:w="150" w:type="dxa"/>
              <w:right w:w="240" w:type="dxa"/>
            </w:tcMar>
            <w:vAlign w:val="center"/>
            <w:hideMark/>
          </w:tcPr>
          <w:p w14:paraId="2829905C"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Chilling Status</w:t>
            </w:r>
          </w:p>
        </w:tc>
        <w:tc>
          <w:tcPr>
            <w:tcW w:w="0" w:type="auto"/>
            <w:tcBorders>
              <w:top w:val="nil"/>
            </w:tcBorders>
            <w:tcMar>
              <w:top w:w="150" w:type="dxa"/>
              <w:left w:w="240" w:type="dxa"/>
              <w:bottom w:w="150" w:type="dxa"/>
              <w:right w:w="240" w:type="dxa"/>
            </w:tcMar>
            <w:vAlign w:val="center"/>
            <w:hideMark/>
          </w:tcPr>
          <w:p w14:paraId="5D93F176"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Formula</w:t>
            </w:r>
          </w:p>
        </w:tc>
        <w:tc>
          <w:tcPr>
            <w:tcW w:w="0" w:type="auto"/>
            <w:tcBorders>
              <w:top w:val="nil"/>
            </w:tcBorders>
            <w:tcMar>
              <w:top w:w="150" w:type="dxa"/>
              <w:left w:w="240" w:type="dxa"/>
              <w:bottom w:w="150" w:type="dxa"/>
              <w:right w:w="240" w:type="dxa"/>
            </w:tcMar>
            <w:vAlign w:val="center"/>
            <w:hideMark/>
          </w:tcPr>
          <w:p w14:paraId="0FA3261E"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Deviation (days)</w:t>
            </w:r>
          </w:p>
        </w:tc>
        <w:tc>
          <w:tcPr>
            <w:tcW w:w="0" w:type="auto"/>
            <w:tcBorders>
              <w:top w:val="nil"/>
            </w:tcBorders>
            <w:tcMar>
              <w:top w:w="150" w:type="dxa"/>
              <w:left w:w="240" w:type="dxa"/>
              <w:bottom w:w="150" w:type="dxa"/>
              <w:right w:w="240" w:type="dxa"/>
            </w:tcMar>
            <w:vAlign w:val="center"/>
            <w:hideMark/>
          </w:tcPr>
          <w:p w14:paraId="00FA161C"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Direction</w:t>
            </w:r>
          </w:p>
        </w:tc>
      </w:tr>
      <w:tr w:rsidR="007741C9" w:rsidRPr="007741C9" w14:paraId="070BA099" w14:textId="77777777">
        <w:tc>
          <w:tcPr>
            <w:tcW w:w="0" w:type="auto"/>
            <w:tcMar>
              <w:top w:w="150" w:type="dxa"/>
              <w:left w:w="0" w:type="dxa"/>
              <w:bottom w:w="150" w:type="dxa"/>
              <w:right w:w="240" w:type="dxa"/>
            </w:tcMar>
            <w:vAlign w:val="center"/>
            <w:hideMark/>
          </w:tcPr>
          <w:p w14:paraId="3FC9AC8B"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Completed (≥ 800 hours)</w:t>
            </w:r>
          </w:p>
        </w:tc>
        <w:tc>
          <w:tcPr>
            <w:tcW w:w="0" w:type="auto"/>
            <w:tcMar>
              <w:top w:w="150" w:type="dxa"/>
              <w:left w:w="240" w:type="dxa"/>
              <w:bottom w:w="150" w:type="dxa"/>
              <w:right w:w="240" w:type="dxa"/>
            </w:tcMar>
            <w:vAlign w:val="center"/>
            <w:hideMark/>
          </w:tcPr>
          <w:p w14:paraId="36ED23C8"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0</w:t>
            </w:r>
          </w:p>
        </w:tc>
        <w:tc>
          <w:tcPr>
            <w:tcW w:w="0" w:type="auto"/>
            <w:tcMar>
              <w:top w:w="150" w:type="dxa"/>
              <w:left w:w="240" w:type="dxa"/>
              <w:bottom w:w="150" w:type="dxa"/>
              <w:right w:w="240" w:type="dxa"/>
            </w:tcMar>
            <w:vAlign w:val="center"/>
            <w:hideMark/>
          </w:tcPr>
          <w:p w14:paraId="42827231"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0</w:t>
            </w:r>
          </w:p>
        </w:tc>
        <w:tc>
          <w:tcPr>
            <w:tcW w:w="0" w:type="auto"/>
            <w:tcMar>
              <w:top w:w="150" w:type="dxa"/>
              <w:left w:w="240" w:type="dxa"/>
              <w:bottom w:w="150" w:type="dxa"/>
              <w:right w:w="0" w:type="dxa"/>
            </w:tcMar>
            <w:vAlign w:val="center"/>
            <w:hideMark/>
          </w:tcPr>
          <w:p w14:paraId="2163A708"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No effect</w:t>
            </w:r>
          </w:p>
        </w:tc>
      </w:tr>
      <w:tr w:rsidR="007741C9" w:rsidRPr="007741C9" w14:paraId="7D8892BC" w14:textId="77777777">
        <w:tc>
          <w:tcPr>
            <w:tcW w:w="0" w:type="auto"/>
            <w:tcMar>
              <w:top w:w="150" w:type="dxa"/>
              <w:left w:w="0" w:type="dxa"/>
              <w:bottom w:w="150" w:type="dxa"/>
              <w:right w:w="240" w:type="dxa"/>
            </w:tcMar>
            <w:vAlign w:val="center"/>
            <w:hideMark/>
          </w:tcPr>
          <w:p w14:paraId="641CB405"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Deficient (&lt; 800 hours)</w:t>
            </w:r>
          </w:p>
        </w:tc>
        <w:tc>
          <w:tcPr>
            <w:tcW w:w="0" w:type="auto"/>
            <w:tcMar>
              <w:top w:w="150" w:type="dxa"/>
              <w:left w:w="240" w:type="dxa"/>
              <w:bottom w:w="150" w:type="dxa"/>
              <w:right w:w="240" w:type="dxa"/>
            </w:tcMar>
            <w:vAlign w:val="center"/>
            <w:hideMark/>
          </w:tcPr>
          <w:p w14:paraId="3C3304A0"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(800 - C_JF) / 50 × 2</w:t>
            </w:r>
          </w:p>
        </w:tc>
        <w:tc>
          <w:tcPr>
            <w:tcW w:w="0" w:type="auto"/>
            <w:tcMar>
              <w:top w:w="150" w:type="dxa"/>
              <w:left w:w="240" w:type="dxa"/>
              <w:bottom w:w="150" w:type="dxa"/>
              <w:right w:w="240" w:type="dxa"/>
            </w:tcMar>
            <w:vAlign w:val="center"/>
            <w:hideMark/>
          </w:tcPr>
          <w:p w14:paraId="0C453BA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 (deficit / 25)</w:t>
            </w:r>
          </w:p>
        </w:tc>
        <w:tc>
          <w:tcPr>
            <w:tcW w:w="0" w:type="auto"/>
            <w:tcMar>
              <w:top w:w="150" w:type="dxa"/>
              <w:left w:w="240" w:type="dxa"/>
              <w:bottom w:w="150" w:type="dxa"/>
              <w:right w:w="0" w:type="dxa"/>
            </w:tcMar>
            <w:vAlign w:val="center"/>
            <w:hideMark/>
          </w:tcPr>
          <w:p w14:paraId="570F359C"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Delay</w:t>
            </w:r>
          </w:p>
        </w:tc>
      </w:tr>
    </w:tbl>
    <w:p w14:paraId="5A4EC794" w14:textId="77777777" w:rsidR="007741C9" w:rsidRDefault="007741C9" w:rsidP="007741C9">
      <w:pPr>
        <w:spacing w:line="360" w:lineRule="auto"/>
        <w:rPr>
          <w:rFonts w:ascii="Times New Roman" w:hAnsi="Times New Roman" w:cs="Times New Roman"/>
          <w:b/>
          <w:bCs/>
          <w:sz w:val="24"/>
          <w:szCs w:val="24"/>
          <w:lang w:val="en-US"/>
        </w:rPr>
      </w:pPr>
    </w:p>
    <w:p w14:paraId="7B723A2B" w14:textId="1E9F24AD"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Example:</w:t>
      </w:r>
      <w:r w:rsidRPr="007741C9">
        <w:rPr>
          <w:rFonts w:ascii="Times New Roman" w:hAnsi="Times New Roman" w:cs="Times New Roman"/>
          <w:sz w:val="24"/>
          <w:szCs w:val="24"/>
          <w:lang w:val="en-US"/>
        </w:rPr>
        <w:t> January–February total 600 hours chill → 200 hours deficit → Δ₃ = +4 days (delay).</w:t>
      </w:r>
    </w:p>
    <w:p w14:paraId="365EB6F1" w14:textId="77777777" w:rsidR="007741C9" w:rsidRDefault="007741C9" w:rsidP="007741C9">
      <w:pPr>
        <w:spacing w:line="360" w:lineRule="auto"/>
        <w:rPr>
          <w:rFonts w:ascii="Times New Roman" w:hAnsi="Times New Roman" w:cs="Times New Roman"/>
          <w:b/>
          <w:bCs/>
          <w:sz w:val="24"/>
          <w:szCs w:val="24"/>
          <w:lang w:val="en-US"/>
        </w:rPr>
      </w:pPr>
    </w:p>
    <w:p w14:paraId="287B214B" w14:textId="77777777" w:rsidR="007741C9" w:rsidRDefault="007741C9" w:rsidP="007741C9">
      <w:pPr>
        <w:spacing w:line="360" w:lineRule="auto"/>
        <w:rPr>
          <w:rFonts w:ascii="Times New Roman" w:hAnsi="Times New Roman" w:cs="Times New Roman"/>
          <w:b/>
          <w:bCs/>
          <w:sz w:val="24"/>
          <w:szCs w:val="24"/>
          <w:lang w:val="en-US"/>
        </w:rPr>
      </w:pPr>
    </w:p>
    <w:p w14:paraId="59B81C17" w14:textId="6A9D1D54"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lastRenderedPageBreak/>
        <w:t>Step 4: March temperature effect (Δ₄)</w:t>
      </w:r>
    </w:p>
    <w:tbl>
      <w:tblPr>
        <w:tblW w:w="0" w:type="auto"/>
        <w:tblCellMar>
          <w:top w:w="15" w:type="dxa"/>
          <w:left w:w="15" w:type="dxa"/>
          <w:bottom w:w="15" w:type="dxa"/>
          <w:right w:w="15" w:type="dxa"/>
        </w:tblCellMar>
        <w:tblLook w:val="04A0" w:firstRow="1" w:lastRow="0" w:firstColumn="1" w:lastColumn="0" w:noHBand="0" w:noVBand="1"/>
      </w:tblPr>
      <w:tblGrid>
        <w:gridCol w:w="2318"/>
        <w:gridCol w:w="2175"/>
        <w:gridCol w:w="2154"/>
        <w:gridCol w:w="1436"/>
      </w:tblGrid>
      <w:tr w:rsidR="007741C9" w:rsidRPr="007741C9" w14:paraId="1F86821F" w14:textId="77777777">
        <w:trPr>
          <w:tblHeader/>
        </w:trPr>
        <w:tc>
          <w:tcPr>
            <w:tcW w:w="0" w:type="auto"/>
            <w:tcBorders>
              <w:top w:val="nil"/>
            </w:tcBorders>
            <w:tcMar>
              <w:top w:w="150" w:type="dxa"/>
              <w:left w:w="0" w:type="dxa"/>
              <w:bottom w:w="150" w:type="dxa"/>
              <w:right w:w="240" w:type="dxa"/>
            </w:tcMar>
            <w:vAlign w:val="center"/>
            <w:hideMark/>
          </w:tcPr>
          <w:p w14:paraId="071A85E9"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March Temperature</w:t>
            </w:r>
          </w:p>
        </w:tc>
        <w:tc>
          <w:tcPr>
            <w:tcW w:w="0" w:type="auto"/>
            <w:tcBorders>
              <w:top w:val="nil"/>
            </w:tcBorders>
            <w:tcMar>
              <w:top w:w="150" w:type="dxa"/>
              <w:left w:w="240" w:type="dxa"/>
              <w:bottom w:w="150" w:type="dxa"/>
              <w:right w:w="240" w:type="dxa"/>
            </w:tcMar>
            <w:vAlign w:val="center"/>
            <w:hideMark/>
          </w:tcPr>
          <w:p w14:paraId="1F8FF02C"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Formula</w:t>
            </w:r>
          </w:p>
        </w:tc>
        <w:tc>
          <w:tcPr>
            <w:tcW w:w="0" w:type="auto"/>
            <w:tcBorders>
              <w:top w:val="nil"/>
            </w:tcBorders>
            <w:tcMar>
              <w:top w:w="150" w:type="dxa"/>
              <w:left w:w="240" w:type="dxa"/>
              <w:bottom w:w="150" w:type="dxa"/>
              <w:right w:w="240" w:type="dxa"/>
            </w:tcMar>
            <w:vAlign w:val="center"/>
            <w:hideMark/>
          </w:tcPr>
          <w:p w14:paraId="6FFD881F"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Deviation (days)</w:t>
            </w:r>
          </w:p>
        </w:tc>
        <w:tc>
          <w:tcPr>
            <w:tcW w:w="0" w:type="auto"/>
            <w:tcBorders>
              <w:top w:val="nil"/>
            </w:tcBorders>
            <w:tcMar>
              <w:top w:w="150" w:type="dxa"/>
              <w:left w:w="240" w:type="dxa"/>
              <w:bottom w:w="150" w:type="dxa"/>
              <w:right w:w="240" w:type="dxa"/>
            </w:tcMar>
            <w:vAlign w:val="center"/>
            <w:hideMark/>
          </w:tcPr>
          <w:p w14:paraId="6C5BF9AE"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Direction</w:t>
            </w:r>
          </w:p>
        </w:tc>
      </w:tr>
      <w:tr w:rsidR="007741C9" w:rsidRPr="007741C9" w14:paraId="4034FA5E" w14:textId="77777777">
        <w:tc>
          <w:tcPr>
            <w:tcW w:w="0" w:type="auto"/>
            <w:tcMar>
              <w:top w:w="150" w:type="dxa"/>
              <w:left w:w="0" w:type="dxa"/>
              <w:bottom w:w="150" w:type="dxa"/>
              <w:right w:w="240" w:type="dxa"/>
            </w:tcMar>
            <w:vAlign w:val="center"/>
            <w:hideMark/>
          </w:tcPr>
          <w:p w14:paraId="063AA71F"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&gt; 12°C</w:t>
            </w:r>
          </w:p>
        </w:tc>
        <w:tc>
          <w:tcPr>
            <w:tcW w:w="0" w:type="auto"/>
            <w:tcMar>
              <w:top w:w="150" w:type="dxa"/>
              <w:left w:w="240" w:type="dxa"/>
              <w:bottom w:w="150" w:type="dxa"/>
              <w:right w:w="240" w:type="dxa"/>
            </w:tcMar>
            <w:vAlign w:val="center"/>
            <w:hideMark/>
          </w:tcPr>
          <w:p w14:paraId="132A0B2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(T_M - 12) × (-2)</w:t>
            </w:r>
          </w:p>
        </w:tc>
        <w:tc>
          <w:tcPr>
            <w:tcW w:w="0" w:type="auto"/>
            <w:tcMar>
              <w:top w:w="150" w:type="dxa"/>
              <w:left w:w="240" w:type="dxa"/>
              <w:bottom w:w="150" w:type="dxa"/>
              <w:right w:w="240" w:type="dxa"/>
            </w:tcMar>
            <w:vAlign w:val="center"/>
            <w:hideMark/>
          </w:tcPr>
          <w:p w14:paraId="4EFACE87"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-2 × (T_M - 12)</w:t>
            </w:r>
          </w:p>
        </w:tc>
        <w:tc>
          <w:tcPr>
            <w:tcW w:w="0" w:type="auto"/>
            <w:tcMar>
              <w:top w:w="150" w:type="dxa"/>
              <w:left w:w="240" w:type="dxa"/>
              <w:bottom w:w="150" w:type="dxa"/>
              <w:right w:w="0" w:type="dxa"/>
            </w:tcMar>
            <w:vAlign w:val="center"/>
            <w:hideMark/>
          </w:tcPr>
          <w:p w14:paraId="06D1F873"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Early</w:t>
            </w:r>
          </w:p>
        </w:tc>
      </w:tr>
      <w:tr w:rsidR="007741C9" w:rsidRPr="007741C9" w14:paraId="0A407447" w14:textId="77777777">
        <w:tc>
          <w:tcPr>
            <w:tcW w:w="0" w:type="auto"/>
            <w:tcMar>
              <w:top w:w="150" w:type="dxa"/>
              <w:left w:w="0" w:type="dxa"/>
              <w:bottom w:w="150" w:type="dxa"/>
              <w:right w:w="240" w:type="dxa"/>
            </w:tcMar>
            <w:vAlign w:val="center"/>
            <w:hideMark/>
          </w:tcPr>
          <w:p w14:paraId="4B75B087"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10°C – 12°C</w:t>
            </w:r>
          </w:p>
        </w:tc>
        <w:tc>
          <w:tcPr>
            <w:tcW w:w="0" w:type="auto"/>
            <w:tcMar>
              <w:top w:w="150" w:type="dxa"/>
              <w:left w:w="240" w:type="dxa"/>
              <w:bottom w:w="150" w:type="dxa"/>
              <w:right w:w="240" w:type="dxa"/>
            </w:tcMar>
            <w:vAlign w:val="center"/>
            <w:hideMark/>
          </w:tcPr>
          <w:p w14:paraId="7D0216B6"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0</w:t>
            </w:r>
          </w:p>
        </w:tc>
        <w:tc>
          <w:tcPr>
            <w:tcW w:w="0" w:type="auto"/>
            <w:tcMar>
              <w:top w:w="150" w:type="dxa"/>
              <w:left w:w="240" w:type="dxa"/>
              <w:bottom w:w="150" w:type="dxa"/>
              <w:right w:w="240" w:type="dxa"/>
            </w:tcMar>
            <w:vAlign w:val="center"/>
            <w:hideMark/>
          </w:tcPr>
          <w:p w14:paraId="542E44F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0</w:t>
            </w:r>
          </w:p>
        </w:tc>
        <w:tc>
          <w:tcPr>
            <w:tcW w:w="0" w:type="auto"/>
            <w:tcMar>
              <w:top w:w="150" w:type="dxa"/>
              <w:left w:w="240" w:type="dxa"/>
              <w:bottom w:w="150" w:type="dxa"/>
              <w:right w:w="0" w:type="dxa"/>
            </w:tcMar>
            <w:vAlign w:val="center"/>
            <w:hideMark/>
          </w:tcPr>
          <w:p w14:paraId="0E19AE4D"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No effect</w:t>
            </w:r>
          </w:p>
        </w:tc>
      </w:tr>
      <w:tr w:rsidR="007741C9" w:rsidRPr="007741C9" w14:paraId="775E2A70" w14:textId="77777777">
        <w:tc>
          <w:tcPr>
            <w:tcW w:w="0" w:type="auto"/>
            <w:tcMar>
              <w:top w:w="150" w:type="dxa"/>
              <w:left w:w="0" w:type="dxa"/>
              <w:bottom w:w="150" w:type="dxa"/>
              <w:right w:w="240" w:type="dxa"/>
            </w:tcMar>
            <w:vAlign w:val="center"/>
            <w:hideMark/>
          </w:tcPr>
          <w:p w14:paraId="65B97306"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&lt; 10°C</w:t>
            </w:r>
          </w:p>
        </w:tc>
        <w:tc>
          <w:tcPr>
            <w:tcW w:w="0" w:type="auto"/>
            <w:tcMar>
              <w:top w:w="150" w:type="dxa"/>
              <w:left w:w="240" w:type="dxa"/>
              <w:bottom w:w="150" w:type="dxa"/>
              <w:right w:w="240" w:type="dxa"/>
            </w:tcMar>
            <w:vAlign w:val="center"/>
            <w:hideMark/>
          </w:tcPr>
          <w:p w14:paraId="167EA5F8"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(10 - T_M) × 2</w:t>
            </w:r>
          </w:p>
        </w:tc>
        <w:tc>
          <w:tcPr>
            <w:tcW w:w="0" w:type="auto"/>
            <w:tcMar>
              <w:top w:w="150" w:type="dxa"/>
              <w:left w:w="240" w:type="dxa"/>
              <w:bottom w:w="150" w:type="dxa"/>
              <w:right w:w="240" w:type="dxa"/>
            </w:tcMar>
            <w:vAlign w:val="center"/>
            <w:hideMark/>
          </w:tcPr>
          <w:p w14:paraId="13B1C714"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+2 × (10 - T_M)</w:t>
            </w:r>
          </w:p>
        </w:tc>
        <w:tc>
          <w:tcPr>
            <w:tcW w:w="0" w:type="auto"/>
            <w:tcMar>
              <w:top w:w="150" w:type="dxa"/>
              <w:left w:w="240" w:type="dxa"/>
              <w:bottom w:w="150" w:type="dxa"/>
              <w:right w:w="0" w:type="dxa"/>
            </w:tcMar>
            <w:vAlign w:val="center"/>
            <w:hideMark/>
          </w:tcPr>
          <w:p w14:paraId="262F15A5"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Delay</w:t>
            </w:r>
          </w:p>
        </w:tc>
      </w:tr>
    </w:tbl>
    <w:p w14:paraId="728F002C" w14:textId="16B904CD" w:rsidR="007741C9" w:rsidRPr="007741C9" w:rsidRDefault="007741C9" w:rsidP="007741C9">
      <w:pPr>
        <w:spacing w:line="360" w:lineRule="auto"/>
        <w:rPr>
          <w:rFonts w:ascii="Times New Roman" w:hAnsi="Times New Roman" w:cs="Times New Roman"/>
          <w:sz w:val="24"/>
          <w:szCs w:val="24"/>
          <w:lang w:val="en-US"/>
        </w:rPr>
      </w:pPr>
    </w:p>
    <w:p w14:paraId="730690F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Step 5: Total deviation and estimated flowering date</w:t>
      </w:r>
    </w:p>
    <w:tbl>
      <w:tblPr>
        <w:tblW w:w="10030" w:type="dxa"/>
        <w:tblCellMar>
          <w:top w:w="15" w:type="dxa"/>
          <w:left w:w="15" w:type="dxa"/>
          <w:bottom w:w="15" w:type="dxa"/>
          <w:right w:w="15" w:type="dxa"/>
        </w:tblCellMar>
        <w:tblLook w:val="04A0" w:firstRow="1" w:lastRow="0" w:firstColumn="1" w:lastColumn="0" w:noHBand="0" w:noVBand="1"/>
      </w:tblPr>
      <w:tblGrid>
        <w:gridCol w:w="3956"/>
        <w:gridCol w:w="6074"/>
      </w:tblGrid>
      <w:tr w:rsidR="007741C9" w:rsidRPr="007741C9" w14:paraId="1D6EEAD6" w14:textId="77777777" w:rsidTr="007741C9">
        <w:trPr>
          <w:trHeight w:val="548"/>
          <w:tblHeader/>
        </w:trPr>
        <w:tc>
          <w:tcPr>
            <w:tcW w:w="0" w:type="auto"/>
            <w:tcBorders>
              <w:top w:val="nil"/>
            </w:tcBorders>
            <w:tcMar>
              <w:top w:w="150" w:type="dxa"/>
              <w:left w:w="0" w:type="dxa"/>
              <w:bottom w:w="150" w:type="dxa"/>
              <w:right w:w="240" w:type="dxa"/>
            </w:tcMar>
            <w:vAlign w:val="center"/>
            <w:hideMark/>
          </w:tcPr>
          <w:p w14:paraId="5DF54799"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Formula</w:t>
            </w:r>
          </w:p>
        </w:tc>
        <w:tc>
          <w:tcPr>
            <w:tcW w:w="0" w:type="auto"/>
            <w:tcBorders>
              <w:top w:val="nil"/>
            </w:tcBorders>
            <w:tcMar>
              <w:top w:w="150" w:type="dxa"/>
              <w:left w:w="240" w:type="dxa"/>
              <w:bottom w:w="150" w:type="dxa"/>
              <w:right w:w="240" w:type="dxa"/>
            </w:tcMar>
            <w:vAlign w:val="center"/>
            <w:hideMark/>
          </w:tcPr>
          <w:p w14:paraId="25C8A501"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Description</w:t>
            </w:r>
          </w:p>
        </w:tc>
      </w:tr>
      <w:tr w:rsidR="007741C9" w:rsidRPr="007741C9" w14:paraId="3B4DF062" w14:textId="77777777" w:rsidTr="007741C9">
        <w:trPr>
          <w:trHeight w:val="548"/>
        </w:trPr>
        <w:tc>
          <w:tcPr>
            <w:tcW w:w="0" w:type="auto"/>
            <w:tcMar>
              <w:top w:w="150" w:type="dxa"/>
              <w:left w:w="0" w:type="dxa"/>
              <w:bottom w:w="150" w:type="dxa"/>
              <w:right w:w="240" w:type="dxa"/>
            </w:tcMar>
            <w:vAlign w:val="center"/>
            <w:hideMark/>
          </w:tcPr>
          <w:p w14:paraId="4333D48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Δ_total = Δ₁ + Δ₂ + Δ₃ + Δ₄</w:t>
            </w:r>
          </w:p>
        </w:tc>
        <w:tc>
          <w:tcPr>
            <w:tcW w:w="0" w:type="auto"/>
            <w:tcMar>
              <w:top w:w="150" w:type="dxa"/>
              <w:left w:w="240" w:type="dxa"/>
              <w:bottom w:w="150" w:type="dxa"/>
              <w:right w:w="0" w:type="dxa"/>
            </w:tcMar>
            <w:vAlign w:val="center"/>
            <w:hideMark/>
          </w:tcPr>
          <w:p w14:paraId="366E29FF"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Total deviation (days) – negative means early, positive means late</w:t>
            </w:r>
          </w:p>
        </w:tc>
      </w:tr>
      <w:tr w:rsidR="007741C9" w:rsidRPr="007741C9" w14:paraId="11C30933" w14:textId="77777777" w:rsidTr="007741C9">
        <w:trPr>
          <w:trHeight w:val="536"/>
        </w:trPr>
        <w:tc>
          <w:tcPr>
            <w:tcW w:w="0" w:type="auto"/>
            <w:tcMar>
              <w:top w:w="150" w:type="dxa"/>
              <w:left w:w="0" w:type="dxa"/>
              <w:bottom w:w="150" w:type="dxa"/>
              <w:right w:w="240" w:type="dxa"/>
            </w:tcMar>
            <w:vAlign w:val="center"/>
            <w:hideMark/>
          </w:tcPr>
          <w:p w14:paraId="380BA3CA"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Estimated Flowering = April 25 + Δ_total</w:t>
            </w:r>
          </w:p>
        </w:tc>
        <w:tc>
          <w:tcPr>
            <w:tcW w:w="0" w:type="auto"/>
            <w:tcMar>
              <w:top w:w="150" w:type="dxa"/>
              <w:left w:w="240" w:type="dxa"/>
              <w:bottom w:w="150" w:type="dxa"/>
              <w:right w:w="0" w:type="dxa"/>
            </w:tcMar>
            <w:vAlign w:val="center"/>
            <w:hideMark/>
          </w:tcPr>
          <w:p w14:paraId="31973B1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Estimated male flowering date</w:t>
            </w:r>
          </w:p>
        </w:tc>
      </w:tr>
    </w:tbl>
    <w:p w14:paraId="02449836" w14:textId="52F9FC0C" w:rsidR="007741C9" w:rsidRPr="007741C9" w:rsidRDefault="007741C9" w:rsidP="007741C9">
      <w:pPr>
        <w:spacing w:line="360" w:lineRule="auto"/>
        <w:rPr>
          <w:rFonts w:ascii="Times New Roman" w:hAnsi="Times New Roman" w:cs="Times New Roman"/>
          <w:sz w:val="24"/>
          <w:szCs w:val="24"/>
          <w:lang w:val="en-US"/>
        </w:rPr>
      </w:pPr>
    </w:p>
    <w:p w14:paraId="1C900951" w14:textId="77777777" w:rsidR="007741C9" w:rsidRPr="007741C9" w:rsidRDefault="007741C9" w:rsidP="007741C9">
      <w:pPr>
        <w:spacing w:line="360" w:lineRule="auto"/>
        <w:rPr>
          <w:rFonts w:ascii="Times New Roman" w:hAnsi="Times New Roman" w:cs="Times New Roman"/>
          <w:b/>
          <w:bCs/>
          <w:sz w:val="24"/>
          <w:szCs w:val="24"/>
          <w:lang w:val="en-US"/>
        </w:rPr>
      </w:pPr>
      <w:r w:rsidRPr="007741C9">
        <w:rPr>
          <w:rFonts w:ascii="Times New Roman" w:hAnsi="Times New Roman" w:cs="Times New Roman"/>
          <w:b/>
          <w:bCs/>
          <w:sz w:val="24"/>
          <w:szCs w:val="24"/>
          <w:lang w:val="en-US"/>
        </w:rPr>
        <w:t>S1.2. Model Testing with Field Data (2024–2025)</w:t>
      </w:r>
    </w:p>
    <w:tbl>
      <w:tblPr>
        <w:tblW w:w="0" w:type="auto"/>
        <w:tblCellMar>
          <w:top w:w="15" w:type="dxa"/>
          <w:left w:w="15" w:type="dxa"/>
          <w:bottom w:w="15" w:type="dxa"/>
          <w:right w:w="15" w:type="dxa"/>
        </w:tblCellMar>
        <w:tblLook w:val="04A0" w:firstRow="1" w:lastRow="0" w:firstColumn="1" w:lastColumn="0" w:noHBand="0" w:noVBand="1"/>
      </w:tblPr>
      <w:tblGrid>
        <w:gridCol w:w="1644"/>
        <w:gridCol w:w="2291"/>
        <w:gridCol w:w="1430"/>
        <w:gridCol w:w="2657"/>
        <w:gridCol w:w="1384"/>
      </w:tblGrid>
      <w:tr w:rsidR="007741C9" w:rsidRPr="007741C9" w14:paraId="0E7B68B2" w14:textId="77777777">
        <w:trPr>
          <w:tblHeader/>
        </w:trPr>
        <w:tc>
          <w:tcPr>
            <w:tcW w:w="0" w:type="auto"/>
            <w:tcBorders>
              <w:top w:val="nil"/>
            </w:tcBorders>
            <w:tcMar>
              <w:top w:w="150" w:type="dxa"/>
              <w:left w:w="0" w:type="dxa"/>
              <w:bottom w:w="150" w:type="dxa"/>
              <w:right w:w="240" w:type="dxa"/>
            </w:tcMar>
            <w:vAlign w:val="center"/>
            <w:hideMark/>
          </w:tcPr>
          <w:p w14:paraId="5CC216A8"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Parameter</w:t>
            </w:r>
          </w:p>
        </w:tc>
        <w:tc>
          <w:tcPr>
            <w:tcW w:w="0" w:type="auto"/>
            <w:tcBorders>
              <w:top w:val="nil"/>
            </w:tcBorders>
            <w:tcMar>
              <w:top w:w="150" w:type="dxa"/>
              <w:left w:w="240" w:type="dxa"/>
              <w:bottom w:w="150" w:type="dxa"/>
              <w:right w:w="240" w:type="dxa"/>
            </w:tcMar>
            <w:vAlign w:val="center"/>
            <w:hideMark/>
          </w:tcPr>
          <w:p w14:paraId="1CEC1EA6"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2024 Value</w:t>
            </w:r>
          </w:p>
        </w:tc>
        <w:tc>
          <w:tcPr>
            <w:tcW w:w="0" w:type="auto"/>
            <w:tcBorders>
              <w:top w:val="nil"/>
            </w:tcBorders>
            <w:tcMar>
              <w:top w:w="150" w:type="dxa"/>
              <w:left w:w="240" w:type="dxa"/>
              <w:bottom w:w="150" w:type="dxa"/>
              <w:right w:w="240" w:type="dxa"/>
            </w:tcMar>
            <w:vAlign w:val="center"/>
            <w:hideMark/>
          </w:tcPr>
          <w:p w14:paraId="29608432"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Δ (2024)</w:t>
            </w:r>
          </w:p>
        </w:tc>
        <w:tc>
          <w:tcPr>
            <w:tcW w:w="0" w:type="auto"/>
            <w:tcBorders>
              <w:top w:val="nil"/>
            </w:tcBorders>
            <w:tcMar>
              <w:top w:w="150" w:type="dxa"/>
              <w:left w:w="240" w:type="dxa"/>
              <w:bottom w:w="150" w:type="dxa"/>
              <w:right w:w="240" w:type="dxa"/>
            </w:tcMar>
            <w:vAlign w:val="center"/>
            <w:hideMark/>
          </w:tcPr>
          <w:p w14:paraId="76BC4D59"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2025 Value</w:t>
            </w:r>
          </w:p>
        </w:tc>
        <w:tc>
          <w:tcPr>
            <w:tcW w:w="0" w:type="auto"/>
            <w:tcBorders>
              <w:top w:val="nil"/>
            </w:tcBorders>
            <w:tcMar>
              <w:top w:w="150" w:type="dxa"/>
              <w:left w:w="240" w:type="dxa"/>
              <w:bottom w:w="150" w:type="dxa"/>
              <w:right w:w="240" w:type="dxa"/>
            </w:tcMar>
            <w:vAlign w:val="center"/>
            <w:hideMark/>
          </w:tcPr>
          <w:p w14:paraId="30F051B5"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Δ (2025)</w:t>
            </w:r>
          </w:p>
        </w:tc>
      </w:tr>
      <w:tr w:rsidR="007741C9" w:rsidRPr="007741C9" w14:paraId="3C78916A" w14:textId="77777777">
        <w:tc>
          <w:tcPr>
            <w:tcW w:w="0" w:type="auto"/>
            <w:tcMar>
              <w:top w:w="150" w:type="dxa"/>
              <w:left w:w="0" w:type="dxa"/>
              <w:bottom w:w="150" w:type="dxa"/>
              <w:right w:w="240" w:type="dxa"/>
            </w:tcMar>
            <w:vAlign w:val="center"/>
            <w:hideMark/>
          </w:tcPr>
          <w:p w14:paraId="2F6C2345"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Δ₁ (Irrigation)</w:t>
            </w:r>
          </w:p>
        </w:tc>
        <w:tc>
          <w:tcPr>
            <w:tcW w:w="0" w:type="auto"/>
            <w:tcMar>
              <w:top w:w="150" w:type="dxa"/>
              <w:left w:w="240" w:type="dxa"/>
              <w:bottom w:w="150" w:type="dxa"/>
              <w:right w:w="240" w:type="dxa"/>
            </w:tcMar>
            <w:vAlign w:val="center"/>
            <w:hideMark/>
          </w:tcPr>
          <w:p w14:paraId="6291E728"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Intermittent 10–15%</w:t>
            </w:r>
          </w:p>
        </w:tc>
        <w:tc>
          <w:tcPr>
            <w:tcW w:w="0" w:type="auto"/>
            <w:tcMar>
              <w:top w:w="150" w:type="dxa"/>
              <w:left w:w="240" w:type="dxa"/>
              <w:bottom w:w="150" w:type="dxa"/>
              <w:right w:w="240" w:type="dxa"/>
            </w:tcMar>
            <w:vAlign w:val="center"/>
            <w:hideMark/>
          </w:tcPr>
          <w:p w14:paraId="125DC240"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-10 days</w:t>
            </w:r>
          </w:p>
        </w:tc>
        <w:tc>
          <w:tcPr>
            <w:tcW w:w="0" w:type="auto"/>
            <w:tcMar>
              <w:top w:w="150" w:type="dxa"/>
              <w:left w:w="240" w:type="dxa"/>
              <w:bottom w:w="150" w:type="dxa"/>
              <w:right w:w="240" w:type="dxa"/>
            </w:tcMar>
            <w:vAlign w:val="center"/>
            <w:hideMark/>
          </w:tcPr>
          <w:p w14:paraId="31F1C720"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Intermittent 10–15%</w:t>
            </w:r>
          </w:p>
        </w:tc>
        <w:tc>
          <w:tcPr>
            <w:tcW w:w="0" w:type="auto"/>
            <w:tcMar>
              <w:top w:w="150" w:type="dxa"/>
              <w:left w:w="240" w:type="dxa"/>
              <w:bottom w:w="150" w:type="dxa"/>
              <w:right w:w="0" w:type="dxa"/>
            </w:tcMar>
            <w:vAlign w:val="center"/>
            <w:hideMark/>
          </w:tcPr>
          <w:p w14:paraId="2370E11B"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-10 days</w:t>
            </w:r>
          </w:p>
        </w:tc>
      </w:tr>
      <w:tr w:rsidR="007741C9" w:rsidRPr="007741C9" w14:paraId="4EA77722" w14:textId="77777777">
        <w:tc>
          <w:tcPr>
            <w:tcW w:w="0" w:type="auto"/>
            <w:tcMar>
              <w:top w:w="150" w:type="dxa"/>
              <w:left w:w="0" w:type="dxa"/>
              <w:bottom w:w="150" w:type="dxa"/>
              <w:right w:w="240" w:type="dxa"/>
            </w:tcMar>
            <w:vAlign w:val="center"/>
            <w:hideMark/>
          </w:tcPr>
          <w:p w14:paraId="786F69B8"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Δ₂ (P_ND)</w:t>
            </w:r>
          </w:p>
        </w:tc>
        <w:tc>
          <w:tcPr>
            <w:tcW w:w="0" w:type="auto"/>
            <w:tcMar>
              <w:top w:w="150" w:type="dxa"/>
              <w:left w:w="240" w:type="dxa"/>
              <w:bottom w:w="150" w:type="dxa"/>
              <w:right w:w="240" w:type="dxa"/>
            </w:tcMar>
            <w:vAlign w:val="center"/>
            <w:hideMark/>
          </w:tcPr>
          <w:p w14:paraId="6537AC5B"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62.9 mm</w:t>
            </w:r>
          </w:p>
        </w:tc>
        <w:tc>
          <w:tcPr>
            <w:tcW w:w="0" w:type="auto"/>
            <w:tcMar>
              <w:top w:w="150" w:type="dxa"/>
              <w:left w:w="240" w:type="dxa"/>
              <w:bottom w:w="150" w:type="dxa"/>
              <w:right w:w="240" w:type="dxa"/>
            </w:tcMar>
            <w:vAlign w:val="center"/>
            <w:hideMark/>
          </w:tcPr>
          <w:p w14:paraId="23DC0A48"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-6 days</w:t>
            </w:r>
          </w:p>
        </w:tc>
        <w:tc>
          <w:tcPr>
            <w:tcW w:w="0" w:type="auto"/>
            <w:tcMar>
              <w:top w:w="150" w:type="dxa"/>
              <w:left w:w="240" w:type="dxa"/>
              <w:bottom w:w="150" w:type="dxa"/>
              <w:right w:w="240" w:type="dxa"/>
            </w:tcMar>
            <w:vAlign w:val="center"/>
            <w:hideMark/>
          </w:tcPr>
          <w:p w14:paraId="4B83433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63.3 mm</w:t>
            </w:r>
          </w:p>
        </w:tc>
        <w:tc>
          <w:tcPr>
            <w:tcW w:w="0" w:type="auto"/>
            <w:tcMar>
              <w:top w:w="150" w:type="dxa"/>
              <w:left w:w="240" w:type="dxa"/>
              <w:bottom w:w="150" w:type="dxa"/>
              <w:right w:w="0" w:type="dxa"/>
            </w:tcMar>
            <w:vAlign w:val="center"/>
            <w:hideMark/>
          </w:tcPr>
          <w:p w14:paraId="05B6BE1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-6 days</w:t>
            </w:r>
          </w:p>
        </w:tc>
      </w:tr>
      <w:tr w:rsidR="007741C9" w:rsidRPr="007741C9" w14:paraId="5FE2BB59" w14:textId="77777777">
        <w:tc>
          <w:tcPr>
            <w:tcW w:w="0" w:type="auto"/>
            <w:tcMar>
              <w:top w:w="150" w:type="dxa"/>
              <w:left w:w="0" w:type="dxa"/>
              <w:bottom w:w="150" w:type="dxa"/>
              <w:right w:w="240" w:type="dxa"/>
            </w:tcMar>
            <w:vAlign w:val="center"/>
            <w:hideMark/>
          </w:tcPr>
          <w:p w14:paraId="09923A15"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lastRenderedPageBreak/>
              <w:t>Δ₃ (C_JF)</w:t>
            </w:r>
          </w:p>
        </w:tc>
        <w:tc>
          <w:tcPr>
            <w:tcW w:w="0" w:type="auto"/>
            <w:tcMar>
              <w:top w:w="150" w:type="dxa"/>
              <w:left w:w="240" w:type="dxa"/>
              <w:bottom w:w="150" w:type="dxa"/>
              <w:right w:w="240" w:type="dxa"/>
            </w:tcMar>
            <w:vAlign w:val="center"/>
            <w:hideMark/>
          </w:tcPr>
          <w:p w14:paraId="49CAEC3A"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(estimated 700 hours)</w:t>
            </w:r>
          </w:p>
        </w:tc>
        <w:tc>
          <w:tcPr>
            <w:tcW w:w="0" w:type="auto"/>
            <w:tcMar>
              <w:top w:w="150" w:type="dxa"/>
              <w:left w:w="240" w:type="dxa"/>
              <w:bottom w:w="150" w:type="dxa"/>
              <w:right w:w="240" w:type="dxa"/>
            </w:tcMar>
            <w:vAlign w:val="center"/>
            <w:hideMark/>
          </w:tcPr>
          <w:p w14:paraId="08D55A8B"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+2 days (delay)</w:t>
            </w:r>
          </w:p>
        </w:tc>
        <w:tc>
          <w:tcPr>
            <w:tcW w:w="0" w:type="auto"/>
            <w:tcMar>
              <w:top w:w="150" w:type="dxa"/>
              <w:left w:w="240" w:type="dxa"/>
              <w:bottom w:w="150" w:type="dxa"/>
              <w:right w:w="240" w:type="dxa"/>
            </w:tcMar>
            <w:vAlign w:val="center"/>
            <w:hideMark/>
          </w:tcPr>
          <w:p w14:paraId="7BFF486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(estimated 650 hours)</w:t>
            </w:r>
          </w:p>
        </w:tc>
        <w:tc>
          <w:tcPr>
            <w:tcW w:w="0" w:type="auto"/>
            <w:tcMar>
              <w:top w:w="150" w:type="dxa"/>
              <w:left w:w="240" w:type="dxa"/>
              <w:bottom w:w="150" w:type="dxa"/>
              <w:right w:w="0" w:type="dxa"/>
            </w:tcMar>
            <w:vAlign w:val="center"/>
            <w:hideMark/>
          </w:tcPr>
          <w:p w14:paraId="0B8A9E2C"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+4 days (delay)</w:t>
            </w:r>
          </w:p>
        </w:tc>
      </w:tr>
      <w:tr w:rsidR="007741C9" w:rsidRPr="007741C9" w14:paraId="6A275128" w14:textId="77777777">
        <w:tc>
          <w:tcPr>
            <w:tcW w:w="0" w:type="auto"/>
            <w:tcMar>
              <w:top w:w="150" w:type="dxa"/>
              <w:left w:w="0" w:type="dxa"/>
              <w:bottom w:w="150" w:type="dxa"/>
              <w:right w:w="240" w:type="dxa"/>
            </w:tcMar>
            <w:vAlign w:val="center"/>
            <w:hideMark/>
          </w:tcPr>
          <w:p w14:paraId="183A3C7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Δ₄ (T_M)</w:t>
            </w:r>
          </w:p>
        </w:tc>
        <w:tc>
          <w:tcPr>
            <w:tcW w:w="0" w:type="auto"/>
            <w:tcMar>
              <w:top w:w="150" w:type="dxa"/>
              <w:left w:w="240" w:type="dxa"/>
              <w:bottom w:w="150" w:type="dxa"/>
              <w:right w:w="240" w:type="dxa"/>
            </w:tcMar>
            <w:vAlign w:val="center"/>
            <w:hideMark/>
          </w:tcPr>
          <w:p w14:paraId="0D2E9A18"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12.1°C</w:t>
            </w:r>
          </w:p>
        </w:tc>
        <w:tc>
          <w:tcPr>
            <w:tcW w:w="0" w:type="auto"/>
            <w:tcMar>
              <w:top w:w="150" w:type="dxa"/>
              <w:left w:w="240" w:type="dxa"/>
              <w:bottom w:w="150" w:type="dxa"/>
              <w:right w:w="240" w:type="dxa"/>
            </w:tcMar>
            <w:vAlign w:val="center"/>
            <w:hideMark/>
          </w:tcPr>
          <w:p w14:paraId="4FDA3DAB"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0 days</w:t>
            </w:r>
          </w:p>
        </w:tc>
        <w:tc>
          <w:tcPr>
            <w:tcW w:w="0" w:type="auto"/>
            <w:tcMar>
              <w:top w:w="150" w:type="dxa"/>
              <w:left w:w="240" w:type="dxa"/>
              <w:bottom w:w="150" w:type="dxa"/>
              <w:right w:w="240" w:type="dxa"/>
            </w:tcMar>
            <w:vAlign w:val="center"/>
            <w:hideMark/>
          </w:tcPr>
          <w:p w14:paraId="027CB6BF"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13.2°C</w:t>
            </w:r>
          </w:p>
        </w:tc>
        <w:tc>
          <w:tcPr>
            <w:tcW w:w="0" w:type="auto"/>
            <w:tcMar>
              <w:top w:w="150" w:type="dxa"/>
              <w:left w:w="240" w:type="dxa"/>
              <w:bottom w:w="150" w:type="dxa"/>
              <w:right w:w="0" w:type="dxa"/>
            </w:tcMar>
            <w:vAlign w:val="center"/>
            <w:hideMark/>
          </w:tcPr>
          <w:p w14:paraId="057B66E7"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-2.4 days</w:t>
            </w:r>
          </w:p>
        </w:tc>
      </w:tr>
      <w:tr w:rsidR="007741C9" w:rsidRPr="007741C9" w14:paraId="5F8FFD31" w14:textId="77777777">
        <w:tc>
          <w:tcPr>
            <w:tcW w:w="0" w:type="auto"/>
            <w:tcMar>
              <w:top w:w="150" w:type="dxa"/>
              <w:left w:w="0" w:type="dxa"/>
              <w:bottom w:w="150" w:type="dxa"/>
              <w:right w:w="240" w:type="dxa"/>
            </w:tcMar>
            <w:vAlign w:val="center"/>
            <w:hideMark/>
          </w:tcPr>
          <w:p w14:paraId="016166EF"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Total Deviation</w:t>
            </w:r>
          </w:p>
        </w:tc>
        <w:tc>
          <w:tcPr>
            <w:tcW w:w="0" w:type="auto"/>
            <w:tcMar>
              <w:top w:w="150" w:type="dxa"/>
              <w:left w:w="240" w:type="dxa"/>
              <w:bottom w:w="150" w:type="dxa"/>
              <w:right w:w="240" w:type="dxa"/>
            </w:tcMar>
            <w:vAlign w:val="center"/>
            <w:hideMark/>
          </w:tcPr>
          <w:p w14:paraId="10B6893D" w14:textId="77777777" w:rsidR="007741C9" w:rsidRPr="007741C9" w:rsidRDefault="007741C9" w:rsidP="007741C9">
            <w:pPr>
              <w:spacing w:line="360" w:lineRule="auto"/>
              <w:rPr>
                <w:rFonts w:ascii="Times New Roman" w:hAnsi="Times New Roman" w:cs="Times New Roman"/>
                <w:sz w:val="24"/>
                <w:szCs w:val="24"/>
                <w:lang w:val="en-US"/>
              </w:rPr>
            </w:pPr>
          </w:p>
        </w:tc>
        <w:tc>
          <w:tcPr>
            <w:tcW w:w="0" w:type="auto"/>
            <w:tcMar>
              <w:top w:w="150" w:type="dxa"/>
              <w:left w:w="240" w:type="dxa"/>
              <w:bottom w:w="150" w:type="dxa"/>
              <w:right w:w="240" w:type="dxa"/>
            </w:tcMar>
            <w:vAlign w:val="center"/>
            <w:hideMark/>
          </w:tcPr>
          <w:p w14:paraId="45BB954B"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-14 days (early)</w:t>
            </w:r>
          </w:p>
        </w:tc>
        <w:tc>
          <w:tcPr>
            <w:tcW w:w="0" w:type="auto"/>
            <w:tcMar>
              <w:top w:w="150" w:type="dxa"/>
              <w:left w:w="240" w:type="dxa"/>
              <w:bottom w:w="150" w:type="dxa"/>
              <w:right w:w="240" w:type="dxa"/>
            </w:tcMar>
            <w:vAlign w:val="center"/>
            <w:hideMark/>
          </w:tcPr>
          <w:p w14:paraId="485B4310" w14:textId="77777777" w:rsidR="007741C9" w:rsidRPr="007741C9" w:rsidRDefault="007741C9" w:rsidP="007741C9">
            <w:pPr>
              <w:spacing w:line="360" w:lineRule="auto"/>
              <w:rPr>
                <w:rFonts w:ascii="Times New Roman" w:hAnsi="Times New Roman" w:cs="Times New Roman"/>
                <w:sz w:val="24"/>
                <w:szCs w:val="24"/>
                <w:lang w:val="en-US"/>
              </w:rPr>
            </w:pPr>
          </w:p>
        </w:tc>
        <w:tc>
          <w:tcPr>
            <w:tcW w:w="0" w:type="auto"/>
            <w:tcMar>
              <w:top w:w="150" w:type="dxa"/>
              <w:left w:w="240" w:type="dxa"/>
              <w:bottom w:w="150" w:type="dxa"/>
              <w:right w:w="0" w:type="dxa"/>
            </w:tcMar>
            <w:vAlign w:val="center"/>
            <w:hideMark/>
          </w:tcPr>
          <w:p w14:paraId="702892AD"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-14.4 days (early)</w:t>
            </w:r>
          </w:p>
        </w:tc>
      </w:tr>
      <w:tr w:rsidR="007741C9" w:rsidRPr="007741C9" w14:paraId="64698816" w14:textId="77777777">
        <w:tc>
          <w:tcPr>
            <w:tcW w:w="0" w:type="auto"/>
            <w:tcMar>
              <w:top w:w="150" w:type="dxa"/>
              <w:left w:w="0" w:type="dxa"/>
              <w:bottom w:w="150" w:type="dxa"/>
              <w:right w:w="240" w:type="dxa"/>
            </w:tcMar>
            <w:vAlign w:val="center"/>
            <w:hideMark/>
          </w:tcPr>
          <w:p w14:paraId="31F134D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Estimated Flowering</w:t>
            </w:r>
          </w:p>
        </w:tc>
        <w:tc>
          <w:tcPr>
            <w:tcW w:w="0" w:type="auto"/>
            <w:tcMar>
              <w:top w:w="150" w:type="dxa"/>
              <w:left w:w="240" w:type="dxa"/>
              <w:bottom w:w="150" w:type="dxa"/>
              <w:right w:w="240" w:type="dxa"/>
            </w:tcMar>
            <w:vAlign w:val="center"/>
            <w:hideMark/>
          </w:tcPr>
          <w:p w14:paraId="0D85E9FD"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April 25 – 14 days = </w:t>
            </w:r>
            <w:r w:rsidRPr="007741C9">
              <w:rPr>
                <w:rFonts w:ascii="Times New Roman" w:hAnsi="Times New Roman" w:cs="Times New Roman"/>
                <w:b/>
                <w:bCs/>
                <w:sz w:val="24"/>
                <w:szCs w:val="24"/>
                <w:lang w:val="en-US"/>
              </w:rPr>
              <w:t>April 11</w:t>
            </w:r>
          </w:p>
        </w:tc>
        <w:tc>
          <w:tcPr>
            <w:tcW w:w="0" w:type="auto"/>
            <w:tcMar>
              <w:top w:w="150" w:type="dxa"/>
              <w:left w:w="240" w:type="dxa"/>
              <w:bottom w:w="150" w:type="dxa"/>
              <w:right w:w="240" w:type="dxa"/>
            </w:tcMar>
            <w:vAlign w:val="center"/>
            <w:hideMark/>
          </w:tcPr>
          <w:p w14:paraId="656E515F" w14:textId="77777777" w:rsidR="007741C9" w:rsidRPr="007741C9" w:rsidRDefault="007741C9" w:rsidP="007741C9">
            <w:pPr>
              <w:spacing w:line="360" w:lineRule="auto"/>
              <w:rPr>
                <w:rFonts w:ascii="Times New Roman" w:hAnsi="Times New Roman" w:cs="Times New Roman"/>
                <w:sz w:val="24"/>
                <w:szCs w:val="24"/>
                <w:lang w:val="en-US"/>
              </w:rPr>
            </w:pPr>
          </w:p>
        </w:tc>
        <w:tc>
          <w:tcPr>
            <w:tcW w:w="0" w:type="auto"/>
            <w:tcMar>
              <w:top w:w="150" w:type="dxa"/>
              <w:left w:w="240" w:type="dxa"/>
              <w:bottom w:w="150" w:type="dxa"/>
              <w:right w:w="240" w:type="dxa"/>
            </w:tcMar>
            <w:vAlign w:val="center"/>
            <w:hideMark/>
          </w:tcPr>
          <w:p w14:paraId="543487C5"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April 25 – 14.4 days = </w:t>
            </w:r>
            <w:r w:rsidRPr="007741C9">
              <w:rPr>
                <w:rFonts w:ascii="Times New Roman" w:hAnsi="Times New Roman" w:cs="Times New Roman"/>
                <w:b/>
                <w:bCs/>
                <w:sz w:val="24"/>
                <w:szCs w:val="24"/>
                <w:lang w:val="en-US"/>
              </w:rPr>
              <w:t>April 10.6 (≈April 11)</w:t>
            </w:r>
          </w:p>
        </w:tc>
        <w:tc>
          <w:tcPr>
            <w:tcW w:w="0" w:type="auto"/>
            <w:tcMar>
              <w:top w:w="150" w:type="dxa"/>
              <w:left w:w="240" w:type="dxa"/>
              <w:bottom w:w="150" w:type="dxa"/>
              <w:right w:w="0" w:type="dxa"/>
            </w:tcMar>
            <w:vAlign w:val="center"/>
            <w:hideMark/>
          </w:tcPr>
          <w:p w14:paraId="7E497DBC" w14:textId="77777777" w:rsidR="007741C9" w:rsidRPr="007741C9" w:rsidRDefault="007741C9" w:rsidP="007741C9">
            <w:pPr>
              <w:spacing w:line="360" w:lineRule="auto"/>
              <w:rPr>
                <w:rFonts w:ascii="Times New Roman" w:hAnsi="Times New Roman" w:cs="Times New Roman"/>
                <w:sz w:val="24"/>
                <w:szCs w:val="24"/>
                <w:lang w:val="en-US"/>
              </w:rPr>
            </w:pPr>
          </w:p>
        </w:tc>
      </w:tr>
      <w:tr w:rsidR="007741C9" w:rsidRPr="007741C9" w14:paraId="5F984619" w14:textId="77777777">
        <w:tc>
          <w:tcPr>
            <w:tcW w:w="0" w:type="auto"/>
            <w:tcMar>
              <w:top w:w="150" w:type="dxa"/>
              <w:left w:w="0" w:type="dxa"/>
              <w:bottom w:w="150" w:type="dxa"/>
              <w:right w:w="240" w:type="dxa"/>
            </w:tcMar>
            <w:vAlign w:val="center"/>
            <w:hideMark/>
          </w:tcPr>
          <w:p w14:paraId="3F969852"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Actual Flowering</w:t>
            </w:r>
          </w:p>
        </w:tc>
        <w:tc>
          <w:tcPr>
            <w:tcW w:w="0" w:type="auto"/>
            <w:tcMar>
              <w:top w:w="150" w:type="dxa"/>
              <w:left w:w="240" w:type="dxa"/>
              <w:bottom w:w="150" w:type="dxa"/>
              <w:right w:w="240" w:type="dxa"/>
            </w:tcMar>
            <w:vAlign w:val="center"/>
            <w:hideMark/>
          </w:tcPr>
          <w:p w14:paraId="0F5E63F3"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April 10–15</w:t>
            </w:r>
            <w:r w:rsidRPr="007741C9">
              <w:rPr>
                <w:rFonts w:ascii="Times New Roman" w:hAnsi="Times New Roman" w:cs="Times New Roman"/>
                <w:sz w:val="24"/>
                <w:szCs w:val="24"/>
                <w:lang w:val="en-US"/>
              </w:rPr>
              <w:t> </w:t>
            </w:r>
            <w:r w:rsidRPr="007741C9">
              <w:rPr>
                <w:rFonts w:ascii="Segoe UI Emoji" w:hAnsi="Segoe UI Emoji" w:cs="Segoe UI Emoji"/>
                <w:sz w:val="24"/>
                <w:szCs w:val="24"/>
                <w:lang w:val="en-US"/>
              </w:rPr>
              <w:t>✅</w:t>
            </w:r>
          </w:p>
        </w:tc>
        <w:tc>
          <w:tcPr>
            <w:tcW w:w="0" w:type="auto"/>
            <w:tcMar>
              <w:top w:w="150" w:type="dxa"/>
              <w:left w:w="240" w:type="dxa"/>
              <w:bottom w:w="150" w:type="dxa"/>
              <w:right w:w="240" w:type="dxa"/>
            </w:tcMar>
            <w:vAlign w:val="center"/>
            <w:hideMark/>
          </w:tcPr>
          <w:p w14:paraId="332D12CE" w14:textId="77777777" w:rsidR="007741C9" w:rsidRPr="007741C9" w:rsidRDefault="007741C9" w:rsidP="007741C9">
            <w:pPr>
              <w:spacing w:line="360" w:lineRule="auto"/>
              <w:rPr>
                <w:rFonts w:ascii="Times New Roman" w:hAnsi="Times New Roman" w:cs="Times New Roman"/>
                <w:sz w:val="24"/>
                <w:szCs w:val="24"/>
                <w:lang w:val="en-US"/>
              </w:rPr>
            </w:pPr>
          </w:p>
        </w:tc>
        <w:tc>
          <w:tcPr>
            <w:tcW w:w="0" w:type="auto"/>
            <w:tcMar>
              <w:top w:w="150" w:type="dxa"/>
              <w:left w:w="240" w:type="dxa"/>
              <w:bottom w:w="150" w:type="dxa"/>
              <w:right w:w="240" w:type="dxa"/>
            </w:tcMar>
            <w:vAlign w:val="center"/>
            <w:hideMark/>
          </w:tcPr>
          <w:p w14:paraId="63374525"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March 25–30</w:t>
            </w:r>
            <w:r w:rsidRPr="007741C9">
              <w:rPr>
                <w:rFonts w:ascii="Times New Roman" w:hAnsi="Times New Roman" w:cs="Times New Roman"/>
                <w:sz w:val="24"/>
                <w:szCs w:val="24"/>
                <w:lang w:val="en-US"/>
              </w:rPr>
              <w:t> </w:t>
            </w:r>
            <w:r w:rsidRPr="007741C9">
              <w:rPr>
                <w:rFonts w:ascii="Segoe UI Emoji" w:hAnsi="Segoe UI Emoji" w:cs="Segoe UI Emoji"/>
                <w:sz w:val="24"/>
                <w:szCs w:val="24"/>
                <w:lang w:val="en-US"/>
              </w:rPr>
              <w:t>❌</w:t>
            </w:r>
          </w:p>
        </w:tc>
        <w:tc>
          <w:tcPr>
            <w:tcW w:w="0" w:type="auto"/>
            <w:tcMar>
              <w:top w:w="150" w:type="dxa"/>
              <w:left w:w="240" w:type="dxa"/>
              <w:bottom w:w="150" w:type="dxa"/>
              <w:right w:w="0" w:type="dxa"/>
            </w:tcMar>
            <w:vAlign w:val="center"/>
            <w:hideMark/>
          </w:tcPr>
          <w:p w14:paraId="5A649440" w14:textId="77777777" w:rsidR="007741C9" w:rsidRPr="007741C9" w:rsidRDefault="007741C9" w:rsidP="007741C9">
            <w:pPr>
              <w:spacing w:line="360" w:lineRule="auto"/>
              <w:rPr>
                <w:rFonts w:ascii="Times New Roman" w:hAnsi="Times New Roman" w:cs="Times New Roman"/>
                <w:sz w:val="24"/>
                <w:szCs w:val="24"/>
                <w:lang w:val="en-US"/>
              </w:rPr>
            </w:pPr>
          </w:p>
        </w:tc>
      </w:tr>
      <w:tr w:rsidR="007741C9" w:rsidRPr="007741C9" w14:paraId="392C4A8E" w14:textId="77777777">
        <w:tc>
          <w:tcPr>
            <w:tcW w:w="0" w:type="auto"/>
            <w:tcMar>
              <w:top w:w="150" w:type="dxa"/>
              <w:left w:w="0" w:type="dxa"/>
              <w:bottom w:w="150" w:type="dxa"/>
              <w:right w:w="240" w:type="dxa"/>
            </w:tcMar>
            <w:vAlign w:val="center"/>
            <w:hideMark/>
          </w:tcPr>
          <w:p w14:paraId="6FC607AB"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Model Error</w:t>
            </w:r>
          </w:p>
        </w:tc>
        <w:tc>
          <w:tcPr>
            <w:tcW w:w="0" w:type="auto"/>
            <w:tcMar>
              <w:top w:w="150" w:type="dxa"/>
              <w:left w:w="240" w:type="dxa"/>
              <w:bottom w:w="150" w:type="dxa"/>
              <w:right w:w="240" w:type="dxa"/>
            </w:tcMar>
            <w:vAlign w:val="center"/>
            <w:hideMark/>
          </w:tcPr>
          <w:p w14:paraId="1B211C1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±0 days (within prediction interval)</w:t>
            </w:r>
          </w:p>
        </w:tc>
        <w:tc>
          <w:tcPr>
            <w:tcW w:w="0" w:type="auto"/>
            <w:tcMar>
              <w:top w:w="150" w:type="dxa"/>
              <w:left w:w="240" w:type="dxa"/>
              <w:bottom w:w="150" w:type="dxa"/>
              <w:right w:w="240" w:type="dxa"/>
            </w:tcMar>
            <w:vAlign w:val="center"/>
            <w:hideMark/>
          </w:tcPr>
          <w:p w14:paraId="60405B13" w14:textId="77777777" w:rsidR="007741C9" w:rsidRPr="007741C9" w:rsidRDefault="007741C9" w:rsidP="007741C9">
            <w:pPr>
              <w:spacing w:line="360" w:lineRule="auto"/>
              <w:rPr>
                <w:rFonts w:ascii="Times New Roman" w:hAnsi="Times New Roman" w:cs="Times New Roman"/>
                <w:sz w:val="24"/>
                <w:szCs w:val="24"/>
                <w:lang w:val="en-US"/>
              </w:rPr>
            </w:pPr>
          </w:p>
        </w:tc>
        <w:tc>
          <w:tcPr>
            <w:tcW w:w="0" w:type="auto"/>
            <w:tcMar>
              <w:top w:w="150" w:type="dxa"/>
              <w:left w:w="240" w:type="dxa"/>
              <w:bottom w:w="150" w:type="dxa"/>
              <w:right w:w="240" w:type="dxa"/>
            </w:tcMar>
            <w:vAlign w:val="center"/>
            <w:hideMark/>
          </w:tcPr>
          <w:p w14:paraId="1FF2E03D"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~12 days</w:t>
            </w:r>
            <w:r w:rsidRPr="007741C9">
              <w:rPr>
                <w:rFonts w:ascii="Times New Roman" w:hAnsi="Times New Roman" w:cs="Times New Roman"/>
                <w:sz w:val="24"/>
                <w:szCs w:val="24"/>
                <w:lang w:val="en-US"/>
              </w:rPr>
              <w:t> (earlier than predicted)</w:t>
            </w:r>
          </w:p>
        </w:tc>
        <w:tc>
          <w:tcPr>
            <w:tcW w:w="0" w:type="auto"/>
            <w:tcMar>
              <w:top w:w="150" w:type="dxa"/>
              <w:left w:w="240" w:type="dxa"/>
              <w:bottom w:w="150" w:type="dxa"/>
              <w:right w:w="0" w:type="dxa"/>
            </w:tcMar>
            <w:vAlign w:val="center"/>
            <w:hideMark/>
          </w:tcPr>
          <w:p w14:paraId="4391530F" w14:textId="77777777" w:rsidR="007741C9" w:rsidRPr="007741C9" w:rsidRDefault="007741C9" w:rsidP="007741C9">
            <w:pPr>
              <w:spacing w:line="360" w:lineRule="auto"/>
              <w:rPr>
                <w:rFonts w:ascii="Times New Roman" w:hAnsi="Times New Roman" w:cs="Times New Roman"/>
                <w:sz w:val="24"/>
                <w:szCs w:val="24"/>
                <w:lang w:val="en-US"/>
              </w:rPr>
            </w:pPr>
          </w:p>
        </w:tc>
      </w:tr>
    </w:tbl>
    <w:p w14:paraId="7334F6D6" w14:textId="5B472E73" w:rsidR="007741C9" w:rsidRPr="007741C9" w:rsidRDefault="007741C9" w:rsidP="007741C9">
      <w:pPr>
        <w:spacing w:line="360" w:lineRule="auto"/>
        <w:rPr>
          <w:rFonts w:ascii="Times New Roman" w:hAnsi="Times New Roman" w:cs="Times New Roman"/>
          <w:sz w:val="24"/>
          <w:szCs w:val="24"/>
          <w:lang w:val="en-US"/>
        </w:rPr>
      </w:pPr>
    </w:p>
    <w:p w14:paraId="51EE53FF"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Analysis of the 2025 deviation:</w:t>
      </w:r>
    </w:p>
    <w:p w14:paraId="3F1938FA"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The model's inability to fully predict the extremely early flowering observed in 2025 (actual March 25–30 vs. predicted April 11, approximately 12 days difference) indicates the presence of one or more variables not included in the current parameter set. This deviation should be considered not as an "error" but as a sign of a new mechanism to be discovered.</w:t>
      </w:r>
    </w:p>
    <w:p w14:paraId="7A16EF61" w14:textId="77777777" w:rsidR="007741C9" w:rsidRDefault="007741C9" w:rsidP="007741C9">
      <w:pPr>
        <w:spacing w:line="360" w:lineRule="auto"/>
        <w:rPr>
          <w:rFonts w:ascii="Times New Roman" w:hAnsi="Times New Roman" w:cs="Times New Roman"/>
          <w:b/>
          <w:bCs/>
          <w:sz w:val="24"/>
          <w:szCs w:val="24"/>
          <w:lang w:val="en-US"/>
        </w:rPr>
      </w:pPr>
    </w:p>
    <w:p w14:paraId="271CBF09" w14:textId="77777777" w:rsidR="007741C9" w:rsidRDefault="007741C9" w:rsidP="007741C9">
      <w:pPr>
        <w:spacing w:line="360" w:lineRule="auto"/>
        <w:rPr>
          <w:rFonts w:ascii="Times New Roman" w:hAnsi="Times New Roman" w:cs="Times New Roman"/>
          <w:b/>
          <w:bCs/>
          <w:sz w:val="24"/>
          <w:szCs w:val="24"/>
          <w:lang w:val="en-US"/>
        </w:rPr>
      </w:pPr>
    </w:p>
    <w:p w14:paraId="45AB9268" w14:textId="5CEA6475"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lastRenderedPageBreak/>
        <w:t>Possible missing variables:</w:t>
      </w:r>
    </w:p>
    <w:p w14:paraId="621C7379" w14:textId="77777777" w:rsidR="007741C9" w:rsidRPr="007741C9" w:rsidRDefault="007741C9" w:rsidP="007741C9">
      <w:pPr>
        <w:numPr>
          <w:ilvl w:val="0"/>
          <w:numId w:val="1"/>
        </w:num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Cumulative Stress Effect:</w:t>
      </w:r>
      <w:r w:rsidRPr="007741C9">
        <w:rPr>
          <w:rFonts w:ascii="Times New Roman" w:hAnsi="Times New Roman" w:cs="Times New Roman"/>
          <w:sz w:val="24"/>
          <w:szCs w:val="24"/>
          <w:lang w:val="en-US"/>
        </w:rPr>
        <w:t> Cumulative water stress starting in the summer of 2024 and continuing until spring 2025 may have non-linearly increased the tree's physiological response. The model could not separate the effect of "previous year" from "current year" parameters.</w:t>
      </w:r>
    </w:p>
    <w:p w14:paraId="7886E509" w14:textId="77777777" w:rsidR="007741C9" w:rsidRPr="007741C9" w:rsidRDefault="007741C9" w:rsidP="007741C9">
      <w:pPr>
        <w:numPr>
          <w:ilvl w:val="0"/>
          <w:numId w:val="1"/>
        </w:num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Soil Temperature Dynamics:</w:t>
      </w:r>
      <w:r w:rsidRPr="007741C9">
        <w:rPr>
          <w:rFonts w:ascii="Times New Roman" w:hAnsi="Times New Roman" w:cs="Times New Roman"/>
          <w:sz w:val="24"/>
          <w:szCs w:val="24"/>
          <w:lang w:val="en-US"/>
        </w:rPr>
        <w:t> Soil temperature may have warmed faster than air temperature during February–March 2025. Adding soil temperature data to the model could reduce this deviation.</w:t>
      </w:r>
    </w:p>
    <w:p w14:paraId="6A0D82AD" w14:textId="77777777" w:rsidR="007741C9" w:rsidRPr="007741C9" w:rsidRDefault="007741C9" w:rsidP="007741C9">
      <w:pPr>
        <w:numPr>
          <w:ilvl w:val="0"/>
          <w:numId w:val="1"/>
        </w:num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Threshold Effect in Biological Triggers:</w:t>
      </w:r>
      <w:r w:rsidRPr="007741C9">
        <w:rPr>
          <w:rFonts w:ascii="Times New Roman" w:hAnsi="Times New Roman" w:cs="Times New Roman"/>
          <w:sz w:val="24"/>
          <w:szCs w:val="24"/>
          <w:lang w:val="en-US"/>
        </w:rPr>
        <w:t> When water stress signals (ABA, etc.) exceed a certain threshold, the male flower system may suddenly switch to "early flowering" mode. Such threshold effects cannot be captured by linear models.</w:t>
      </w:r>
    </w:p>
    <w:p w14:paraId="7A60761E" w14:textId="77777777" w:rsidR="007741C9" w:rsidRPr="007741C9" w:rsidRDefault="007741C9" w:rsidP="007741C9">
      <w:pPr>
        <w:spacing w:line="360" w:lineRule="auto"/>
        <w:rPr>
          <w:rFonts w:ascii="Times New Roman" w:hAnsi="Times New Roman" w:cs="Times New Roman"/>
          <w:b/>
          <w:bCs/>
          <w:sz w:val="24"/>
          <w:szCs w:val="24"/>
          <w:lang w:val="en-US"/>
        </w:rPr>
      </w:pPr>
      <w:r w:rsidRPr="007741C9">
        <w:rPr>
          <w:rFonts w:ascii="Times New Roman" w:hAnsi="Times New Roman" w:cs="Times New Roman"/>
          <w:b/>
          <w:bCs/>
          <w:sz w:val="24"/>
          <w:szCs w:val="24"/>
          <w:lang w:val="en-US"/>
        </w:rPr>
        <w:t>S1.3. Additional Parameters Needed for Future Model Improvement</w:t>
      </w:r>
    </w:p>
    <w:tbl>
      <w:tblPr>
        <w:tblW w:w="0" w:type="auto"/>
        <w:tblCellMar>
          <w:top w:w="15" w:type="dxa"/>
          <w:left w:w="15" w:type="dxa"/>
          <w:bottom w:w="15" w:type="dxa"/>
          <w:right w:w="15" w:type="dxa"/>
        </w:tblCellMar>
        <w:tblLook w:val="04A0" w:firstRow="1" w:lastRow="0" w:firstColumn="1" w:lastColumn="0" w:noHBand="0" w:noVBand="1"/>
      </w:tblPr>
      <w:tblGrid>
        <w:gridCol w:w="4084"/>
        <w:gridCol w:w="1374"/>
        <w:gridCol w:w="2655"/>
        <w:gridCol w:w="1293"/>
      </w:tblGrid>
      <w:tr w:rsidR="007741C9" w:rsidRPr="007741C9" w14:paraId="584AB0C3" w14:textId="77777777">
        <w:trPr>
          <w:tblHeader/>
        </w:trPr>
        <w:tc>
          <w:tcPr>
            <w:tcW w:w="0" w:type="auto"/>
            <w:tcBorders>
              <w:top w:val="nil"/>
            </w:tcBorders>
            <w:tcMar>
              <w:top w:w="150" w:type="dxa"/>
              <w:left w:w="0" w:type="dxa"/>
              <w:bottom w:w="150" w:type="dxa"/>
              <w:right w:w="240" w:type="dxa"/>
            </w:tcMar>
            <w:vAlign w:val="center"/>
            <w:hideMark/>
          </w:tcPr>
          <w:p w14:paraId="61A04CC4"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Parameter</w:t>
            </w:r>
          </w:p>
        </w:tc>
        <w:tc>
          <w:tcPr>
            <w:tcW w:w="0" w:type="auto"/>
            <w:tcBorders>
              <w:top w:val="nil"/>
            </w:tcBorders>
            <w:tcMar>
              <w:top w:w="150" w:type="dxa"/>
              <w:left w:w="240" w:type="dxa"/>
              <w:bottom w:w="150" w:type="dxa"/>
              <w:right w:w="240" w:type="dxa"/>
            </w:tcMar>
            <w:vAlign w:val="center"/>
            <w:hideMark/>
          </w:tcPr>
          <w:p w14:paraId="5DADDC62"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Symbol</w:t>
            </w:r>
          </w:p>
        </w:tc>
        <w:tc>
          <w:tcPr>
            <w:tcW w:w="0" w:type="auto"/>
            <w:tcBorders>
              <w:top w:val="nil"/>
            </w:tcBorders>
            <w:tcMar>
              <w:top w:w="150" w:type="dxa"/>
              <w:left w:w="240" w:type="dxa"/>
              <w:bottom w:w="150" w:type="dxa"/>
              <w:right w:w="240" w:type="dxa"/>
            </w:tcMar>
            <w:vAlign w:val="center"/>
            <w:hideMark/>
          </w:tcPr>
          <w:p w14:paraId="71EC8BFE"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Measurement Method</w:t>
            </w:r>
          </w:p>
        </w:tc>
        <w:tc>
          <w:tcPr>
            <w:tcW w:w="0" w:type="auto"/>
            <w:tcBorders>
              <w:top w:val="nil"/>
            </w:tcBorders>
            <w:tcMar>
              <w:top w:w="150" w:type="dxa"/>
              <w:left w:w="240" w:type="dxa"/>
              <w:bottom w:w="150" w:type="dxa"/>
              <w:right w:w="240" w:type="dxa"/>
            </w:tcMar>
            <w:vAlign w:val="center"/>
            <w:hideMark/>
          </w:tcPr>
          <w:p w14:paraId="1AC37ACC"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Priority</w:t>
            </w:r>
          </w:p>
        </w:tc>
      </w:tr>
      <w:tr w:rsidR="007741C9" w:rsidRPr="007741C9" w14:paraId="05E84371" w14:textId="77777777">
        <w:tc>
          <w:tcPr>
            <w:tcW w:w="0" w:type="auto"/>
            <w:tcMar>
              <w:top w:w="150" w:type="dxa"/>
              <w:left w:w="0" w:type="dxa"/>
              <w:bottom w:w="150" w:type="dxa"/>
              <w:right w:w="240" w:type="dxa"/>
            </w:tcMar>
            <w:vAlign w:val="center"/>
            <w:hideMark/>
          </w:tcPr>
          <w:p w14:paraId="446BFBB6"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Cumulative Carbon Reserve Index</w:t>
            </w:r>
            <w:r w:rsidRPr="007741C9">
              <w:rPr>
                <w:rFonts w:ascii="Times New Roman" w:hAnsi="Times New Roman" w:cs="Times New Roman"/>
                <w:sz w:val="24"/>
                <w:szCs w:val="24"/>
                <w:lang w:val="en-US"/>
              </w:rPr>
              <w:t> (previous year's summer temperature + precipitation)</w:t>
            </w:r>
          </w:p>
        </w:tc>
        <w:tc>
          <w:tcPr>
            <w:tcW w:w="0" w:type="auto"/>
            <w:tcMar>
              <w:top w:w="150" w:type="dxa"/>
              <w:left w:w="240" w:type="dxa"/>
              <w:bottom w:w="150" w:type="dxa"/>
              <w:right w:w="240" w:type="dxa"/>
            </w:tcMar>
            <w:vAlign w:val="center"/>
            <w:hideMark/>
          </w:tcPr>
          <w:p w14:paraId="7DA44AE8"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CRI</w:t>
            </w:r>
          </w:p>
        </w:tc>
        <w:tc>
          <w:tcPr>
            <w:tcW w:w="0" w:type="auto"/>
            <w:tcMar>
              <w:top w:w="150" w:type="dxa"/>
              <w:left w:w="240" w:type="dxa"/>
              <w:bottom w:w="150" w:type="dxa"/>
              <w:right w:w="240" w:type="dxa"/>
            </w:tcMar>
            <w:vAlign w:val="center"/>
            <w:hideMark/>
          </w:tcPr>
          <w:p w14:paraId="22DAA5A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Computational (with MGM data)</w:t>
            </w:r>
          </w:p>
        </w:tc>
        <w:tc>
          <w:tcPr>
            <w:tcW w:w="0" w:type="auto"/>
            <w:tcMar>
              <w:top w:w="150" w:type="dxa"/>
              <w:left w:w="240" w:type="dxa"/>
              <w:bottom w:w="150" w:type="dxa"/>
              <w:right w:w="0" w:type="dxa"/>
            </w:tcMar>
            <w:vAlign w:val="center"/>
            <w:hideMark/>
          </w:tcPr>
          <w:p w14:paraId="39121624"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High</w:t>
            </w:r>
          </w:p>
        </w:tc>
      </w:tr>
      <w:tr w:rsidR="007741C9" w:rsidRPr="007741C9" w14:paraId="0F968B4C" w14:textId="77777777">
        <w:tc>
          <w:tcPr>
            <w:tcW w:w="0" w:type="auto"/>
            <w:tcMar>
              <w:top w:w="150" w:type="dxa"/>
              <w:left w:w="0" w:type="dxa"/>
              <w:bottom w:w="150" w:type="dxa"/>
              <w:right w:w="240" w:type="dxa"/>
            </w:tcMar>
            <w:vAlign w:val="center"/>
            <w:hideMark/>
          </w:tcPr>
          <w:p w14:paraId="3A6FE9CB"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September–October ABA level estimate</w:t>
            </w:r>
            <w:r w:rsidRPr="007741C9">
              <w:rPr>
                <w:rFonts w:ascii="Times New Roman" w:hAnsi="Times New Roman" w:cs="Times New Roman"/>
                <w:sz w:val="24"/>
                <w:szCs w:val="24"/>
                <w:lang w:val="en-US"/>
              </w:rPr>
              <w:t> (drought index × 0.6)</w:t>
            </w:r>
          </w:p>
        </w:tc>
        <w:tc>
          <w:tcPr>
            <w:tcW w:w="0" w:type="auto"/>
            <w:tcMar>
              <w:top w:w="150" w:type="dxa"/>
              <w:left w:w="240" w:type="dxa"/>
              <w:bottom w:w="150" w:type="dxa"/>
              <w:right w:w="240" w:type="dxa"/>
            </w:tcMar>
            <w:vAlign w:val="center"/>
            <w:hideMark/>
          </w:tcPr>
          <w:p w14:paraId="7268DCDF"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ABA_est</w:t>
            </w:r>
          </w:p>
        </w:tc>
        <w:tc>
          <w:tcPr>
            <w:tcW w:w="0" w:type="auto"/>
            <w:tcMar>
              <w:top w:w="150" w:type="dxa"/>
              <w:left w:w="240" w:type="dxa"/>
              <w:bottom w:w="150" w:type="dxa"/>
              <w:right w:w="240" w:type="dxa"/>
            </w:tcMar>
            <w:vAlign w:val="center"/>
            <w:hideMark/>
          </w:tcPr>
          <w:p w14:paraId="3BEE45D5"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Indirect (from drought index)</w:t>
            </w:r>
          </w:p>
        </w:tc>
        <w:tc>
          <w:tcPr>
            <w:tcW w:w="0" w:type="auto"/>
            <w:tcMar>
              <w:top w:w="150" w:type="dxa"/>
              <w:left w:w="240" w:type="dxa"/>
              <w:bottom w:w="150" w:type="dxa"/>
              <w:right w:w="0" w:type="dxa"/>
            </w:tcMar>
            <w:vAlign w:val="center"/>
            <w:hideMark/>
          </w:tcPr>
          <w:p w14:paraId="3EF9C8BB"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High</w:t>
            </w:r>
          </w:p>
        </w:tc>
      </w:tr>
      <w:tr w:rsidR="007741C9" w:rsidRPr="007741C9" w14:paraId="30C757EA" w14:textId="77777777">
        <w:tc>
          <w:tcPr>
            <w:tcW w:w="0" w:type="auto"/>
            <w:tcMar>
              <w:top w:w="150" w:type="dxa"/>
              <w:left w:w="0" w:type="dxa"/>
              <w:bottom w:w="150" w:type="dxa"/>
              <w:right w:w="240" w:type="dxa"/>
            </w:tcMar>
            <w:vAlign w:val="center"/>
            <w:hideMark/>
          </w:tcPr>
          <w:p w14:paraId="1D6AA287"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Soil moisture (February–March)</w:t>
            </w:r>
          </w:p>
        </w:tc>
        <w:tc>
          <w:tcPr>
            <w:tcW w:w="0" w:type="auto"/>
            <w:tcMar>
              <w:top w:w="150" w:type="dxa"/>
              <w:left w:w="240" w:type="dxa"/>
              <w:bottom w:w="150" w:type="dxa"/>
              <w:right w:w="240" w:type="dxa"/>
            </w:tcMar>
            <w:vAlign w:val="center"/>
            <w:hideMark/>
          </w:tcPr>
          <w:p w14:paraId="1EE9C633"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SM_FM</w:t>
            </w:r>
          </w:p>
        </w:tc>
        <w:tc>
          <w:tcPr>
            <w:tcW w:w="0" w:type="auto"/>
            <w:tcMar>
              <w:top w:w="150" w:type="dxa"/>
              <w:left w:w="240" w:type="dxa"/>
              <w:bottom w:w="150" w:type="dxa"/>
              <w:right w:w="240" w:type="dxa"/>
            </w:tcMar>
            <w:vAlign w:val="center"/>
            <w:hideMark/>
          </w:tcPr>
          <w:p w14:paraId="09654C00"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Soil moisture sensor or tensiometer</w:t>
            </w:r>
          </w:p>
        </w:tc>
        <w:tc>
          <w:tcPr>
            <w:tcW w:w="0" w:type="auto"/>
            <w:tcMar>
              <w:top w:w="150" w:type="dxa"/>
              <w:left w:w="240" w:type="dxa"/>
              <w:bottom w:w="150" w:type="dxa"/>
              <w:right w:w="0" w:type="dxa"/>
            </w:tcMar>
            <w:vAlign w:val="center"/>
            <w:hideMark/>
          </w:tcPr>
          <w:p w14:paraId="0E215BB1"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High</w:t>
            </w:r>
          </w:p>
        </w:tc>
      </w:tr>
      <w:tr w:rsidR="007741C9" w:rsidRPr="007741C9" w14:paraId="7E450413" w14:textId="77777777">
        <w:tc>
          <w:tcPr>
            <w:tcW w:w="0" w:type="auto"/>
            <w:tcMar>
              <w:top w:w="150" w:type="dxa"/>
              <w:left w:w="0" w:type="dxa"/>
              <w:bottom w:w="150" w:type="dxa"/>
              <w:right w:w="240" w:type="dxa"/>
            </w:tcMar>
            <w:vAlign w:val="center"/>
            <w:hideMark/>
          </w:tcPr>
          <w:p w14:paraId="6A8471D7"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Chilling completion date</w:t>
            </w:r>
            <w:r w:rsidRPr="007741C9">
              <w:rPr>
                <w:rFonts w:ascii="Times New Roman" w:hAnsi="Times New Roman" w:cs="Times New Roman"/>
                <w:sz w:val="24"/>
                <w:szCs w:val="24"/>
                <w:lang w:val="en-US"/>
              </w:rPr>
              <w:t> (after first 500 hours)</w:t>
            </w:r>
          </w:p>
        </w:tc>
        <w:tc>
          <w:tcPr>
            <w:tcW w:w="0" w:type="auto"/>
            <w:tcMar>
              <w:top w:w="150" w:type="dxa"/>
              <w:left w:w="240" w:type="dxa"/>
              <w:bottom w:w="150" w:type="dxa"/>
              <w:right w:w="240" w:type="dxa"/>
            </w:tcMar>
            <w:vAlign w:val="center"/>
            <w:hideMark/>
          </w:tcPr>
          <w:p w14:paraId="76102A08"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Tc</w:t>
            </w:r>
          </w:p>
        </w:tc>
        <w:tc>
          <w:tcPr>
            <w:tcW w:w="0" w:type="auto"/>
            <w:tcMar>
              <w:top w:w="150" w:type="dxa"/>
              <w:left w:w="240" w:type="dxa"/>
              <w:bottom w:w="150" w:type="dxa"/>
              <w:right w:w="240" w:type="dxa"/>
            </w:tcMar>
            <w:vAlign w:val="center"/>
            <w:hideMark/>
          </w:tcPr>
          <w:p w14:paraId="65296872"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Daily hour calculation (with MGM data)</w:t>
            </w:r>
          </w:p>
        </w:tc>
        <w:tc>
          <w:tcPr>
            <w:tcW w:w="0" w:type="auto"/>
            <w:tcMar>
              <w:top w:w="150" w:type="dxa"/>
              <w:left w:w="240" w:type="dxa"/>
              <w:bottom w:w="150" w:type="dxa"/>
              <w:right w:w="0" w:type="dxa"/>
            </w:tcMar>
            <w:vAlign w:val="center"/>
            <w:hideMark/>
          </w:tcPr>
          <w:p w14:paraId="0098BADB"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Medium</w:t>
            </w:r>
          </w:p>
        </w:tc>
      </w:tr>
      <w:tr w:rsidR="007741C9" w:rsidRPr="007741C9" w14:paraId="637F5482" w14:textId="77777777">
        <w:tc>
          <w:tcPr>
            <w:tcW w:w="0" w:type="auto"/>
            <w:tcMar>
              <w:top w:w="150" w:type="dxa"/>
              <w:left w:w="0" w:type="dxa"/>
              <w:bottom w:w="150" w:type="dxa"/>
              <w:right w:w="240" w:type="dxa"/>
            </w:tcMar>
            <w:vAlign w:val="center"/>
            <w:hideMark/>
          </w:tcPr>
          <w:p w14:paraId="38BA46AA"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lastRenderedPageBreak/>
              <w:t>February–March sunshine duration</w:t>
            </w:r>
          </w:p>
        </w:tc>
        <w:tc>
          <w:tcPr>
            <w:tcW w:w="0" w:type="auto"/>
            <w:tcMar>
              <w:top w:w="150" w:type="dxa"/>
              <w:left w:w="240" w:type="dxa"/>
              <w:bottom w:w="150" w:type="dxa"/>
              <w:right w:w="240" w:type="dxa"/>
            </w:tcMar>
            <w:vAlign w:val="center"/>
            <w:hideMark/>
          </w:tcPr>
          <w:p w14:paraId="5D35AD37"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Sun_FM</w:t>
            </w:r>
          </w:p>
        </w:tc>
        <w:tc>
          <w:tcPr>
            <w:tcW w:w="0" w:type="auto"/>
            <w:tcMar>
              <w:top w:w="150" w:type="dxa"/>
              <w:left w:w="240" w:type="dxa"/>
              <w:bottom w:w="150" w:type="dxa"/>
              <w:right w:w="240" w:type="dxa"/>
            </w:tcMar>
            <w:vAlign w:val="center"/>
            <w:hideMark/>
          </w:tcPr>
          <w:p w14:paraId="6F42FF6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MGM or luxmeter</w:t>
            </w:r>
          </w:p>
        </w:tc>
        <w:tc>
          <w:tcPr>
            <w:tcW w:w="0" w:type="auto"/>
            <w:tcMar>
              <w:top w:w="150" w:type="dxa"/>
              <w:left w:w="240" w:type="dxa"/>
              <w:bottom w:w="150" w:type="dxa"/>
              <w:right w:w="0" w:type="dxa"/>
            </w:tcMar>
            <w:vAlign w:val="center"/>
            <w:hideMark/>
          </w:tcPr>
          <w:p w14:paraId="784E00BD"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Low</w:t>
            </w:r>
          </w:p>
        </w:tc>
      </w:tr>
    </w:tbl>
    <w:p w14:paraId="26D9F730" w14:textId="798EAB48" w:rsidR="007741C9" w:rsidRPr="007741C9" w:rsidRDefault="007741C9" w:rsidP="007741C9">
      <w:pPr>
        <w:spacing w:line="360" w:lineRule="auto"/>
        <w:rPr>
          <w:rFonts w:ascii="Times New Roman" w:hAnsi="Times New Roman" w:cs="Times New Roman"/>
          <w:sz w:val="24"/>
          <w:szCs w:val="24"/>
          <w:lang w:val="en-US"/>
        </w:rPr>
      </w:pPr>
    </w:p>
    <w:p w14:paraId="12ECBEDD" w14:textId="77777777" w:rsidR="007741C9" w:rsidRPr="007741C9" w:rsidRDefault="007741C9" w:rsidP="007741C9">
      <w:pPr>
        <w:spacing w:line="360" w:lineRule="auto"/>
        <w:rPr>
          <w:rFonts w:ascii="Times New Roman" w:hAnsi="Times New Roman" w:cs="Times New Roman"/>
          <w:b/>
          <w:bCs/>
          <w:sz w:val="24"/>
          <w:szCs w:val="24"/>
          <w:lang w:val="en-US"/>
        </w:rPr>
      </w:pPr>
      <w:r w:rsidRPr="007741C9">
        <w:rPr>
          <w:rFonts w:ascii="Times New Roman" w:hAnsi="Times New Roman" w:cs="Times New Roman"/>
          <w:b/>
          <w:bCs/>
          <w:sz w:val="24"/>
          <w:szCs w:val="24"/>
          <w:lang w:val="en-US"/>
        </w:rPr>
        <w:t>S1.4. User-Friendly Application: Excel Tool Prototype</w:t>
      </w:r>
    </w:p>
    <w:p w14:paraId="1F62D045"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The algorithm of the Excel template developed for use by farmers is presented below. This tool asks the user for only four basic inputs and automatically calculates the estimated flowering date.</w:t>
      </w:r>
    </w:p>
    <w:p w14:paraId="2CDCB272"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Input Cells:</w:t>
      </w:r>
    </w:p>
    <w:p w14:paraId="29B68EEA" w14:textId="77777777" w:rsidR="007741C9" w:rsidRPr="007741C9" w:rsidRDefault="007741C9" w:rsidP="007741C9">
      <w:pPr>
        <w:numPr>
          <w:ilvl w:val="0"/>
          <w:numId w:val="2"/>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B1 = Irrigation regime (0=No irrigation, 1=Full and regular irrigation, 2=Intermittent 10–15%)</w:t>
      </w:r>
    </w:p>
    <w:p w14:paraId="5B957621" w14:textId="77777777" w:rsidR="007741C9" w:rsidRPr="007741C9" w:rsidRDefault="007741C9" w:rsidP="007741C9">
      <w:pPr>
        <w:numPr>
          <w:ilvl w:val="0"/>
          <w:numId w:val="2"/>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B2 = November–April precipitation (mm)</w:t>
      </w:r>
    </w:p>
    <w:p w14:paraId="0FE1C900" w14:textId="77777777" w:rsidR="007741C9" w:rsidRPr="007741C9" w:rsidRDefault="007741C9" w:rsidP="007741C9">
      <w:pPr>
        <w:numPr>
          <w:ilvl w:val="0"/>
          <w:numId w:val="2"/>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B3 = March average temperature (°C)</w:t>
      </w:r>
    </w:p>
    <w:p w14:paraId="63E8C5E3" w14:textId="77777777" w:rsidR="007741C9" w:rsidRPr="007741C9" w:rsidRDefault="007741C9" w:rsidP="007741C9">
      <w:pPr>
        <w:numPr>
          <w:ilvl w:val="0"/>
          <w:numId w:val="2"/>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B4 = January–February total chilling hours (optional, hours below 7°C)</w:t>
      </w:r>
    </w:p>
    <w:p w14:paraId="38018118" w14:textId="20F10F99"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Calculation Formulas:</w:t>
      </w:r>
    </w:p>
    <w:p w14:paraId="2CC23A48"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Δ₁ = IF(B1=0, 0, IF(B1=1, -5, -10))</w:t>
      </w:r>
    </w:p>
    <w:p w14:paraId="3242975A"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Δ₂ = IF(B2&lt;50, -10, IF(B2&lt;70, -6, IF(B2&lt;=100, -3, 0)))</w:t>
      </w:r>
    </w:p>
    <w:p w14:paraId="3FB51E34"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Δ₃ = IF(OR(B4="", B4&gt;=800), 0, (800-B4)/50*2)</w:t>
      </w:r>
    </w:p>
    <w:p w14:paraId="225487CF"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Δ₄ = IF(B3&gt;12, -(B3-12)*2, IF(B3&lt;10, (10-B3)*2, 0))</w:t>
      </w:r>
    </w:p>
    <w:p w14:paraId="106C66F7"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Total Deviation (days) = Δ₁ + Δ₂ + Δ₃ + Δ₄</w:t>
      </w:r>
    </w:p>
    <w:p w14:paraId="29B6D15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Estimated Flowering Date = "April 25" + Total Deviation</w:t>
      </w:r>
    </w:p>
    <w:p w14:paraId="6589FEF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Example Output:</w:t>
      </w:r>
    </w:p>
    <w:p w14:paraId="7A0786C5"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"Male flowers will open around April 11 this year. Flowering is expected to be 14 days earlier than normal."</w:t>
      </w:r>
    </w:p>
    <w:p w14:paraId="22CBEBE6" w14:textId="77777777" w:rsidR="007741C9" w:rsidRPr="007741C9" w:rsidRDefault="007741C9" w:rsidP="007741C9">
      <w:pPr>
        <w:spacing w:line="360" w:lineRule="auto"/>
        <w:rPr>
          <w:rFonts w:ascii="Times New Roman" w:hAnsi="Times New Roman" w:cs="Times New Roman"/>
          <w:b/>
          <w:bCs/>
          <w:sz w:val="24"/>
          <w:szCs w:val="24"/>
          <w:lang w:val="en-US"/>
        </w:rPr>
      </w:pPr>
      <w:r w:rsidRPr="007741C9">
        <w:rPr>
          <w:rFonts w:ascii="Times New Roman" w:hAnsi="Times New Roman" w:cs="Times New Roman"/>
          <w:b/>
          <w:bCs/>
          <w:sz w:val="24"/>
          <w:szCs w:val="24"/>
          <w:lang w:val="en-US"/>
        </w:rPr>
        <w:lastRenderedPageBreak/>
        <w:t>S1.5. Model Limitations</w:t>
      </w:r>
    </w:p>
    <w:p w14:paraId="042589A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Important Note:</w:t>
      </w:r>
      <w:r w:rsidRPr="007741C9">
        <w:rPr>
          <w:rFonts w:ascii="Times New Roman" w:hAnsi="Times New Roman" w:cs="Times New Roman"/>
          <w:sz w:val="24"/>
          <w:szCs w:val="24"/>
          <w:lang w:val="en-US"/>
        </w:rPr>
        <w:t> The decision tree model and Excel tool prototype presented in this supplementary material are based on only 3 years (2024–2026) of observational data. It is not possible to develop a statistically significant regression model or train a machine learning algorithm with three years of data. Therefore, the model should currently be considered as a hypothesis testing and practical preliminary assessment tool.</w:t>
      </w:r>
    </w:p>
    <w:p w14:paraId="2F1EC73A"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The model cannot be claimed to be valid and reliable until the following conditions are met:</w:t>
      </w:r>
    </w:p>
    <w:p w14:paraId="4ACDC3B4" w14:textId="77777777" w:rsidR="007741C9" w:rsidRPr="007741C9" w:rsidRDefault="007741C9" w:rsidP="007741C9">
      <w:pPr>
        <w:numPr>
          <w:ilvl w:val="0"/>
          <w:numId w:val="3"/>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At least 6–10 years of observational data (2027–2033)</w:t>
      </w:r>
    </w:p>
    <w:p w14:paraId="52D99CBE" w14:textId="77777777" w:rsidR="007741C9" w:rsidRPr="007741C9" w:rsidRDefault="007741C9" w:rsidP="007741C9">
      <w:pPr>
        <w:numPr>
          <w:ilvl w:val="0"/>
          <w:numId w:val="3"/>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Validation studies under different orchard conditions</w:t>
      </w:r>
    </w:p>
    <w:p w14:paraId="015F0263" w14:textId="77777777" w:rsidR="007741C9" w:rsidRPr="007741C9" w:rsidRDefault="007741C9" w:rsidP="007741C9">
      <w:pPr>
        <w:numPr>
          <w:ilvl w:val="0"/>
          <w:numId w:val="3"/>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Statistical calibration of the model</w:t>
      </w:r>
    </w:p>
    <w:p w14:paraId="34EB4FE1"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Contributions of this framework:</w:t>
      </w:r>
    </w:p>
    <w:p w14:paraId="42644242" w14:textId="77777777" w:rsidR="007741C9" w:rsidRPr="007741C9" w:rsidRDefault="007741C9" w:rsidP="007741C9">
      <w:pPr>
        <w:numPr>
          <w:ilvl w:val="0"/>
          <w:numId w:val="4"/>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Provides a multi-parameter approach to predicting walnut phenology</w:t>
      </w:r>
    </w:p>
    <w:p w14:paraId="1B4EA2F3" w14:textId="77777777" w:rsidR="007741C9" w:rsidRPr="007741C9" w:rsidRDefault="007741C9" w:rsidP="007741C9">
      <w:pPr>
        <w:numPr>
          <w:ilvl w:val="0"/>
          <w:numId w:val="4"/>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Based on data that can be easily collected in the field</w:t>
      </w:r>
    </w:p>
    <w:p w14:paraId="32CE12A7" w14:textId="77777777" w:rsidR="007741C9" w:rsidRPr="007741C9" w:rsidRDefault="007741C9" w:rsidP="007741C9">
      <w:pPr>
        <w:numPr>
          <w:ilvl w:val="0"/>
          <w:numId w:val="4"/>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Applicable with a user-friendly Excel tool</w:t>
      </w:r>
    </w:p>
    <w:p w14:paraId="26AE6A5C" w14:textId="77777777" w:rsidR="007741C9" w:rsidRPr="007741C9" w:rsidRDefault="007741C9" w:rsidP="007741C9">
      <w:pPr>
        <w:numPr>
          <w:ilvl w:val="0"/>
          <w:numId w:val="4"/>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Quantifies the effect of irrigation regime and hydraulic stress for the first time</w:t>
      </w:r>
    </w:p>
    <w:p w14:paraId="0C330F2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Current limitations:</w:t>
      </w:r>
    </w:p>
    <w:p w14:paraId="1DD9532A" w14:textId="77777777" w:rsidR="007741C9" w:rsidRPr="007741C9" w:rsidRDefault="007741C9" w:rsidP="007741C9">
      <w:pPr>
        <w:numPr>
          <w:ilvl w:val="0"/>
          <w:numId w:val="5"/>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Based on only three years of observational data (statistical power is limited)</w:t>
      </w:r>
    </w:p>
    <w:p w14:paraId="35583FBC" w14:textId="77777777" w:rsidR="007741C9" w:rsidRPr="007741C9" w:rsidRDefault="007741C9" w:rsidP="007741C9">
      <w:pPr>
        <w:numPr>
          <w:ilvl w:val="0"/>
          <w:numId w:val="5"/>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Could not fully explain the extremely early flowering in 2025</w:t>
      </w:r>
    </w:p>
    <w:p w14:paraId="1591E218" w14:textId="77777777" w:rsidR="007741C9" w:rsidRPr="007741C9" w:rsidRDefault="007741C9" w:rsidP="007741C9">
      <w:pPr>
        <w:numPr>
          <w:ilvl w:val="0"/>
          <w:numId w:val="5"/>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Not based on physiological measurements (ABA, carbon reserves)</w:t>
      </w:r>
    </w:p>
    <w:p w14:paraId="189B818C" w14:textId="77777777" w:rsidR="007741C9" w:rsidRPr="007741C9" w:rsidRDefault="007741C9" w:rsidP="007741C9">
      <w:pPr>
        <w:numPr>
          <w:ilvl w:val="0"/>
          <w:numId w:val="5"/>
        </w:num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Developed only for the Chandler variety; separate models are needed for other varieties</w:t>
      </w:r>
    </w:p>
    <w:p w14:paraId="68BB1F3A" w14:textId="77777777" w:rsidR="007741C9" w:rsidRDefault="007741C9" w:rsidP="007741C9">
      <w:pPr>
        <w:spacing w:line="360" w:lineRule="auto"/>
        <w:rPr>
          <w:rFonts w:ascii="Times New Roman" w:hAnsi="Times New Roman" w:cs="Times New Roman"/>
          <w:b/>
          <w:bCs/>
          <w:sz w:val="24"/>
          <w:szCs w:val="24"/>
          <w:lang w:val="en-US"/>
        </w:rPr>
      </w:pPr>
    </w:p>
    <w:p w14:paraId="2B0A3EBE" w14:textId="77777777" w:rsidR="007741C9" w:rsidRDefault="007741C9" w:rsidP="007741C9">
      <w:pPr>
        <w:spacing w:line="360" w:lineRule="auto"/>
        <w:rPr>
          <w:rFonts w:ascii="Times New Roman" w:hAnsi="Times New Roman" w:cs="Times New Roman"/>
          <w:b/>
          <w:bCs/>
          <w:sz w:val="24"/>
          <w:szCs w:val="24"/>
          <w:lang w:val="en-US"/>
        </w:rPr>
      </w:pPr>
    </w:p>
    <w:p w14:paraId="36337EB8" w14:textId="77777777" w:rsidR="007741C9" w:rsidRDefault="007741C9" w:rsidP="007741C9">
      <w:pPr>
        <w:spacing w:line="360" w:lineRule="auto"/>
        <w:rPr>
          <w:rFonts w:ascii="Times New Roman" w:hAnsi="Times New Roman" w:cs="Times New Roman"/>
          <w:b/>
          <w:bCs/>
          <w:sz w:val="24"/>
          <w:szCs w:val="24"/>
          <w:lang w:val="en-US"/>
        </w:rPr>
      </w:pPr>
    </w:p>
    <w:p w14:paraId="0CB6FC3C" w14:textId="77777777" w:rsidR="007741C9" w:rsidRDefault="007741C9" w:rsidP="007741C9">
      <w:pPr>
        <w:spacing w:line="360" w:lineRule="auto"/>
        <w:rPr>
          <w:rFonts w:ascii="Times New Roman" w:hAnsi="Times New Roman" w:cs="Times New Roman"/>
          <w:b/>
          <w:bCs/>
          <w:sz w:val="24"/>
          <w:szCs w:val="24"/>
          <w:lang w:val="en-US"/>
        </w:rPr>
      </w:pPr>
    </w:p>
    <w:p w14:paraId="55FDAE39" w14:textId="70912EA2" w:rsidR="007741C9" w:rsidRPr="007741C9" w:rsidRDefault="007741C9" w:rsidP="007741C9">
      <w:pPr>
        <w:spacing w:line="360" w:lineRule="auto"/>
        <w:rPr>
          <w:rFonts w:ascii="Times New Roman" w:hAnsi="Times New Roman" w:cs="Times New Roman"/>
          <w:b/>
          <w:bCs/>
          <w:sz w:val="24"/>
          <w:szCs w:val="24"/>
          <w:lang w:val="en-US"/>
        </w:rPr>
      </w:pPr>
      <w:r w:rsidRPr="007741C9">
        <w:rPr>
          <w:rFonts w:ascii="Times New Roman" w:hAnsi="Times New Roman" w:cs="Times New Roman"/>
          <w:b/>
          <w:bCs/>
          <w:sz w:val="24"/>
          <w:szCs w:val="24"/>
          <w:lang w:val="en-US"/>
        </w:rPr>
        <w:lastRenderedPageBreak/>
        <w:t>S1.6. Future Development Roadmap</w:t>
      </w:r>
    </w:p>
    <w:tbl>
      <w:tblPr>
        <w:tblW w:w="9969" w:type="dxa"/>
        <w:tblCellMar>
          <w:top w:w="15" w:type="dxa"/>
          <w:left w:w="15" w:type="dxa"/>
          <w:bottom w:w="15" w:type="dxa"/>
          <w:right w:w="15" w:type="dxa"/>
        </w:tblCellMar>
        <w:tblLook w:val="04A0" w:firstRow="1" w:lastRow="0" w:firstColumn="1" w:lastColumn="0" w:noHBand="0" w:noVBand="1"/>
      </w:tblPr>
      <w:tblGrid>
        <w:gridCol w:w="2140"/>
        <w:gridCol w:w="1382"/>
        <w:gridCol w:w="6447"/>
      </w:tblGrid>
      <w:tr w:rsidR="007741C9" w:rsidRPr="007741C9" w14:paraId="4298A924" w14:textId="77777777" w:rsidTr="007741C9">
        <w:trPr>
          <w:trHeight w:val="565"/>
          <w:tblHeader/>
        </w:trPr>
        <w:tc>
          <w:tcPr>
            <w:tcW w:w="0" w:type="auto"/>
            <w:tcBorders>
              <w:top w:val="nil"/>
            </w:tcBorders>
            <w:tcMar>
              <w:top w:w="150" w:type="dxa"/>
              <w:left w:w="0" w:type="dxa"/>
              <w:bottom w:w="150" w:type="dxa"/>
              <w:right w:w="240" w:type="dxa"/>
            </w:tcMar>
            <w:vAlign w:val="center"/>
            <w:hideMark/>
          </w:tcPr>
          <w:p w14:paraId="0011A497"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Stage</w:t>
            </w:r>
          </w:p>
        </w:tc>
        <w:tc>
          <w:tcPr>
            <w:tcW w:w="0" w:type="auto"/>
            <w:tcBorders>
              <w:top w:val="nil"/>
            </w:tcBorders>
            <w:tcMar>
              <w:top w:w="150" w:type="dxa"/>
              <w:left w:w="240" w:type="dxa"/>
              <w:bottom w:w="150" w:type="dxa"/>
              <w:right w:w="240" w:type="dxa"/>
            </w:tcMar>
            <w:vAlign w:val="center"/>
            <w:hideMark/>
          </w:tcPr>
          <w:p w14:paraId="3FE3ED34"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Period</w:t>
            </w:r>
          </w:p>
        </w:tc>
        <w:tc>
          <w:tcPr>
            <w:tcW w:w="0" w:type="auto"/>
            <w:tcBorders>
              <w:top w:val="nil"/>
            </w:tcBorders>
            <w:tcMar>
              <w:top w:w="150" w:type="dxa"/>
              <w:left w:w="240" w:type="dxa"/>
              <w:bottom w:w="150" w:type="dxa"/>
              <w:right w:w="240" w:type="dxa"/>
            </w:tcMar>
            <w:vAlign w:val="center"/>
            <w:hideMark/>
          </w:tcPr>
          <w:p w14:paraId="260FAE26" w14:textId="77777777" w:rsidR="007741C9" w:rsidRPr="007741C9" w:rsidRDefault="007741C9" w:rsidP="007741C9">
            <w:pPr>
              <w:spacing w:line="360" w:lineRule="auto"/>
              <w:rPr>
                <w:rFonts w:ascii="Times New Roman" w:hAnsi="Times New Roman" w:cs="Times New Roman"/>
                <w:b/>
                <w:bCs/>
                <w:sz w:val="24"/>
                <w:szCs w:val="24"/>
                <w:u w:val="single"/>
                <w:lang w:val="en-US"/>
              </w:rPr>
            </w:pPr>
            <w:r w:rsidRPr="007741C9">
              <w:rPr>
                <w:rFonts w:ascii="Times New Roman" w:hAnsi="Times New Roman" w:cs="Times New Roman"/>
                <w:b/>
                <w:bCs/>
                <w:sz w:val="24"/>
                <w:szCs w:val="24"/>
                <w:u w:val="single"/>
                <w:lang w:val="en-US"/>
              </w:rPr>
              <w:t>Goals and Activities</w:t>
            </w:r>
          </w:p>
        </w:tc>
      </w:tr>
      <w:tr w:rsidR="007741C9" w:rsidRPr="007741C9" w14:paraId="7CA66F7B" w14:textId="77777777" w:rsidTr="007741C9">
        <w:trPr>
          <w:trHeight w:val="974"/>
        </w:trPr>
        <w:tc>
          <w:tcPr>
            <w:tcW w:w="0" w:type="auto"/>
            <w:tcMar>
              <w:top w:w="150" w:type="dxa"/>
              <w:left w:w="0" w:type="dxa"/>
              <w:bottom w:w="150" w:type="dxa"/>
              <w:right w:w="240" w:type="dxa"/>
            </w:tcMar>
            <w:vAlign w:val="center"/>
            <w:hideMark/>
          </w:tcPr>
          <w:p w14:paraId="759DB2E6"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1. Data collection</w:t>
            </w:r>
          </w:p>
        </w:tc>
        <w:tc>
          <w:tcPr>
            <w:tcW w:w="0" w:type="auto"/>
            <w:tcMar>
              <w:top w:w="150" w:type="dxa"/>
              <w:left w:w="240" w:type="dxa"/>
              <w:bottom w:w="150" w:type="dxa"/>
              <w:right w:w="240" w:type="dxa"/>
            </w:tcMar>
            <w:vAlign w:val="center"/>
            <w:hideMark/>
          </w:tcPr>
          <w:p w14:paraId="3DE5262E"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2027–2029</w:t>
            </w:r>
          </w:p>
        </w:tc>
        <w:tc>
          <w:tcPr>
            <w:tcW w:w="0" w:type="auto"/>
            <w:tcMar>
              <w:top w:w="150" w:type="dxa"/>
              <w:left w:w="240" w:type="dxa"/>
              <w:bottom w:w="150" w:type="dxa"/>
              <w:right w:w="0" w:type="dxa"/>
            </w:tcMar>
            <w:vAlign w:val="center"/>
            <w:hideMark/>
          </w:tcPr>
          <w:p w14:paraId="1AF679AC"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At least 6 years of observational data (irrigation, precipitation, temperature, flowering date, soil moisture)</w:t>
            </w:r>
          </w:p>
        </w:tc>
      </w:tr>
      <w:tr w:rsidR="007741C9" w:rsidRPr="007741C9" w14:paraId="61462D01" w14:textId="77777777" w:rsidTr="007741C9">
        <w:trPr>
          <w:trHeight w:val="974"/>
        </w:trPr>
        <w:tc>
          <w:tcPr>
            <w:tcW w:w="0" w:type="auto"/>
            <w:tcMar>
              <w:top w:w="150" w:type="dxa"/>
              <w:left w:w="0" w:type="dxa"/>
              <w:bottom w:w="150" w:type="dxa"/>
              <w:right w:w="240" w:type="dxa"/>
            </w:tcMar>
            <w:vAlign w:val="center"/>
            <w:hideMark/>
          </w:tcPr>
          <w:p w14:paraId="180FC423"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2. Statistical modeling</w:t>
            </w:r>
          </w:p>
        </w:tc>
        <w:tc>
          <w:tcPr>
            <w:tcW w:w="0" w:type="auto"/>
            <w:tcMar>
              <w:top w:w="150" w:type="dxa"/>
              <w:left w:w="240" w:type="dxa"/>
              <w:bottom w:w="150" w:type="dxa"/>
              <w:right w:w="240" w:type="dxa"/>
            </w:tcMar>
            <w:vAlign w:val="center"/>
            <w:hideMark/>
          </w:tcPr>
          <w:p w14:paraId="2FE42F55"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2029</w:t>
            </w:r>
          </w:p>
        </w:tc>
        <w:tc>
          <w:tcPr>
            <w:tcW w:w="0" w:type="auto"/>
            <w:tcMar>
              <w:top w:w="150" w:type="dxa"/>
              <w:left w:w="240" w:type="dxa"/>
              <w:bottom w:w="150" w:type="dxa"/>
              <w:right w:w="0" w:type="dxa"/>
            </w:tcMar>
            <w:vAlign w:val="center"/>
            <w:hideMark/>
          </w:tcPr>
          <w:p w14:paraId="5FF8A7B1"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Development of full model equation with multiple linear regression or machine learning (Random Forest)</w:t>
            </w:r>
          </w:p>
        </w:tc>
      </w:tr>
      <w:tr w:rsidR="007741C9" w:rsidRPr="007741C9" w14:paraId="437B25E0" w14:textId="77777777" w:rsidTr="007741C9">
        <w:trPr>
          <w:trHeight w:val="565"/>
        </w:trPr>
        <w:tc>
          <w:tcPr>
            <w:tcW w:w="0" w:type="auto"/>
            <w:tcMar>
              <w:top w:w="150" w:type="dxa"/>
              <w:left w:w="0" w:type="dxa"/>
              <w:bottom w:w="150" w:type="dxa"/>
              <w:right w:w="240" w:type="dxa"/>
            </w:tcMar>
            <w:vAlign w:val="center"/>
            <w:hideMark/>
          </w:tcPr>
          <w:p w14:paraId="5C397B4B"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3. Validation</w:t>
            </w:r>
          </w:p>
        </w:tc>
        <w:tc>
          <w:tcPr>
            <w:tcW w:w="0" w:type="auto"/>
            <w:tcMar>
              <w:top w:w="150" w:type="dxa"/>
              <w:left w:w="240" w:type="dxa"/>
              <w:bottom w:w="150" w:type="dxa"/>
              <w:right w:w="240" w:type="dxa"/>
            </w:tcMar>
            <w:vAlign w:val="center"/>
            <w:hideMark/>
          </w:tcPr>
          <w:p w14:paraId="243BD6B9"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2030</w:t>
            </w:r>
          </w:p>
        </w:tc>
        <w:tc>
          <w:tcPr>
            <w:tcW w:w="0" w:type="auto"/>
            <w:tcMar>
              <w:top w:w="150" w:type="dxa"/>
              <w:left w:w="240" w:type="dxa"/>
              <w:bottom w:w="150" w:type="dxa"/>
              <w:right w:w="0" w:type="dxa"/>
            </w:tcMar>
            <w:vAlign w:val="center"/>
            <w:hideMark/>
          </w:tcPr>
          <w:p w14:paraId="26A92EF5"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Testing the model with 2027–2029 data and calculation of error margin</w:t>
            </w:r>
          </w:p>
        </w:tc>
      </w:tr>
      <w:tr w:rsidR="007741C9" w:rsidRPr="007741C9" w14:paraId="7407E2AE" w14:textId="77777777" w:rsidTr="007741C9">
        <w:trPr>
          <w:trHeight w:val="986"/>
        </w:trPr>
        <w:tc>
          <w:tcPr>
            <w:tcW w:w="0" w:type="auto"/>
            <w:tcMar>
              <w:top w:w="150" w:type="dxa"/>
              <w:left w:w="0" w:type="dxa"/>
              <w:bottom w:w="150" w:type="dxa"/>
              <w:right w:w="240" w:type="dxa"/>
            </w:tcMar>
            <w:vAlign w:val="center"/>
            <w:hideMark/>
          </w:tcPr>
          <w:p w14:paraId="6668D70B"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b/>
                <w:bCs/>
                <w:sz w:val="24"/>
                <w:szCs w:val="24"/>
                <w:lang w:val="en-US"/>
              </w:rPr>
              <w:t>4. Dissemination</w:t>
            </w:r>
          </w:p>
        </w:tc>
        <w:tc>
          <w:tcPr>
            <w:tcW w:w="0" w:type="auto"/>
            <w:tcMar>
              <w:top w:w="150" w:type="dxa"/>
              <w:left w:w="240" w:type="dxa"/>
              <w:bottom w:w="150" w:type="dxa"/>
              <w:right w:w="240" w:type="dxa"/>
            </w:tcMar>
            <w:vAlign w:val="center"/>
            <w:hideMark/>
          </w:tcPr>
          <w:p w14:paraId="5F0EA493"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2030–2031</w:t>
            </w:r>
          </w:p>
        </w:tc>
        <w:tc>
          <w:tcPr>
            <w:tcW w:w="0" w:type="auto"/>
            <w:tcMar>
              <w:top w:w="150" w:type="dxa"/>
              <w:left w:w="240" w:type="dxa"/>
              <w:bottom w:w="150" w:type="dxa"/>
              <w:right w:w="0" w:type="dxa"/>
            </w:tcMar>
            <w:vAlign w:val="center"/>
            <w:hideMark/>
          </w:tcPr>
          <w:p w14:paraId="4FCC849A"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Testing the model in other orchards, publication of Excel tool and mobile application</w:t>
            </w:r>
          </w:p>
        </w:tc>
      </w:tr>
    </w:tbl>
    <w:p w14:paraId="6D902C23" w14:textId="62F7352E" w:rsidR="007741C9" w:rsidRPr="007741C9" w:rsidRDefault="007741C9" w:rsidP="007741C9">
      <w:pPr>
        <w:spacing w:line="360" w:lineRule="auto"/>
        <w:rPr>
          <w:rFonts w:ascii="Times New Roman" w:hAnsi="Times New Roman" w:cs="Times New Roman"/>
          <w:sz w:val="24"/>
          <w:szCs w:val="24"/>
          <w:lang w:val="en-US"/>
        </w:rPr>
      </w:pPr>
    </w:p>
    <w:p w14:paraId="4EFA2F87" w14:textId="77777777" w:rsidR="007741C9" w:rsidRPr="007741C9" w:rsidRDefault="007741C9" w:rsidP="007741C9">
      <w:pPr>
        <w:spacing w:line="360" w:lineRule="auto"/>
        <w:rPr>
          <w:rFonts w:ascii="Times New Roman" w:hAnsi="Times New Roman" w:cs="Times New Roman"/>
          <w:sz w:val="24"/>
          <w:szCs w:val="24"/>
          <w:lang w:val="en-US"/>
        </w:rPr>
      </w:pPr>
      <w:r w:rsidRPr="007741C9">
        <w:rPr>
          <w:rFonts w:ascii="Times New Roman" w:hAnsi="Times New Roman" w:cs="Times New Roman"/>
          <w:sz w:val="24"/>
          <w:szCs w:val="24"/>
          <w:lang w:val="en-US"/>
        </w:rPr>
        <w:t>This supplementary material is intended to provide full transparency on the model development process and to enable other researchers to test, refine, or challenge the proposed framework.</w:t>
      </w:r>
    </w:p>
    <w:p w14:paraId="543E3569" w14:textId="77777777" w:rsidR="00640907" w:rsidRPr="007741C9" w:rsidRDefault="00640907" w:rsidP="007741C9">
      <w:pPr>
        <w:spacing w:line="360" w:lineRule="auto"/>
        <w:rPr>
          <w:rFonts w:ascii="Times New Roman" w:hAnsi="Times New Roman" w:cs="Times New Roman"/>
          <w:sz w:val="24"/>
          <w:szCs w:val="24"/>
        </w:rPr>
      </w:pPr>
    </w:p>
    <w:sectPr w:rsidR="00640907" w:rsidRPr="007741C9">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9652A"/>
    <w:multiLevelType w:val="multilevel"/>
    <w:tmpl w:val="ACF27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0435B9"/>
    <w:multiLevelType w:val="multilevel"/>
    <w:tmpl w:val="6CE4F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7114F7"/>
    <w:multiLevelType w:val="multilevel"/>
    <w:tmpl w:val="D46C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70AA9"/>
    <w:multiLevelType w:val="multilevel"/>
    <w:tmpl w:val="3204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017599"/>
    <w:multiLevelType w:val="multilevel"/>
    <w:tmpl w:val="8F08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871370">
    <w:abstractNumId w:val="0"/>
  </w:num>
  <w:num w:numId="2" w16cid:durableId="745035286">
    <w:abstractNumId w:val="2"/>
  </w:num>
  <w:num w:numId="3" w16cid:durableId="1643804691">
    <w:abstractNumId w:val="4"/>
  </w:num>
  <w:num w:numId="4" w16cid:durableId="2010402792">
    <w:abstractNumId w:val="1"/>
  </w:num>
  <w:num w:numId="5" w16cid:durableId="1184785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C9"/>
    <w:rsid w:val="00640907"/>
    <w:rsid w:val="007741C9"/>
    <w:rsid w:val="008355DA"/>
    <w:rsid w:val="008427CA"/>
    <w:rsid w:val="00880E66"/>
    <w:rsid w:val="00BC344D"/>
    <w:rsid w:val="00F41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258E2"/>
  <w15:chartTrackingRefBased/>
  <w15:docId w15:val="{A1477D8B-D7E0-4025-BE76-748BA94D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tr-TR"/>
    </w:rPr>
  </w:style>
  <w:style w:type="paragraph" w:styleId="Heading1">
    <w:name w:val="heading 1"/>
    <w:basedOn w:val="Normal"/>
    <w:next w:val="Normal"/>
    <w:link w:val="Heading1Char"/>
    <w:uiPriority w:val="9"/>
    <w:qFormat/>
    <w:rsid w:val="007741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41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41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41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41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41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1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1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1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1C9"/>
    <w:rPr>
      <w:rFonts w:asciiTheme="majorHAnsi" w:eastAsiaTheme="majorEastAsia" w:hAnsiTheme="majorHAnsi" w:cstheme="majorBidi"/>
      <w:noProof/>
      <w:color w:val="2F5496" w:themeColor="accent1" w:themeShade="BF"/>
      <w:sz w:val="40"/>
      <w:szCs w:val="40"/>
      <w:lang w:val="tr-TR"/>
    </w:rPr>
  </w:style>
  <w:style w:type="character" w:customStyle="1" w:styleId="Heading2Char">
    <w:name w:val="Heading 2 Char"/>
    <w:basedOn w:val="DefaultParagraphFont"/>
    <w:link w:val="Heading2"/>
    <w:uiPriority w:val="9"/>
    <w:semiHidden/>
    <w:rsid w:val="007741C9"/>
    <w:rPr>
      <w:rFonts w:asciiTheme="majorHAnsi" w:eastAsiaTheme="majorEastAsia" w:hAnsiTheme="majorHAnsi" w:cstheme="majorBidi"/>
      <w:noProof/>
      <w:color w:val="2F5496" w:themeColor="accent1" w:themeShade="BF"/>
      <w:sz w:val="32"/>
      <w:szCs w:val="32"/>
      <w:lang w:val="tr-TR"/>
    </w:rPr>
  </w:style>
  <w:style w:type="character" w:customStyle="1" w:styleId="Heading3Char">
    <w:name w:val="Heading 3 Char"/>
    <w:basedOn w:val="DefaultParagraphFont"/>
    <w:link w:val="Heading3"/>
    <w:uiPriority w:val="9"/>
    <w:semiHidden/>
    <w:rsid w:val="007741C9"/>
    <w:rPr>
      <w:rFonts w:eastAsiaTheme="majorEastAsia" w:cstheme="majorBidi"/>
      <w:noProof/>
      <w:color w:val="2F5496" w:themeColor="accent1" w:themeShade="BF"/>
      <w:sz w:val="28"/>
      <w:szCs w:val="28"/>
      <w:lang w:val="tr-TR"/>
    </w:rPr>
  </w:style>
  <w:style w:type="character" w:customStyle="1" w:styleId="Heading4Char">
    <w:name w:val="Heading 4 Char"/>
    <w:basedOn w:val="DefaultParagraphFont"/>
    <w:link w:val="Heading4"/>
    <w:uiPriority w:val="9"/>
    <w:semiHidden/>
    <w:rsid w:val="007741C9"/>
    <w:rPr>
      <w:rFonts w:eastAsiaTheme="majorEastAsia" w:cstheme="majorBidi"/>
      <w:i/>
      <w:iCs/>
      <w:noProof/>
      <w:color w:val="2F5496" w:themeColor="accent1" w:themeShade="BF"/>
      <w:lang w:val="tr-TR"/>
    </w:rPr>
  </w:style>
  <w:style w:type="character" w:customStyle="1" w:styleId="Heading5Char">
    <w:name w:val="Heading 5 Char"/>
    <w:basedOn w:val="DefaultParagraphFont"/>
    <w:link w:val="Heading5"/>
    <w:uiPriority w:val="9"/>
    <w:semiHidden/>
    <w:rsid w:val="007741C9"/>
    <w:rPr>
      <w:rFonts w:eastAsiaTheme="majorEastAsia" w:cstheme="majorBidi"/>
      <w:noProof/>
      <w:color w:val="2F5496" w:themeColor="accent1" w:themeShade="BF"/>
      <w:lang w:val="tr-TR"/>
    </w:rPr>
  </w:style>
  <w:style w:type="character" w:customStyle="1" w:styleId="Heading6Char">
    <w:name w:val="Heading 6 Char"/>
    <w:basedOn w:val="DefaultParagraphFont"/>
    <w:link w:val="Heading6"/>
    <w:uiPriority w:val="9"/>
    <w:semiHidden/>
    <w:rsid w:val="007741C9"/>
    <w:rPr>
      <w:rFonts w:eastAsiaTheme="majorEastAsia" w:cstheme="majorBidi"/>
      <w:i/>
      <w:iCs/>
      <w:noProof/>
      <w:color w:val="595959" w:themeColor="text1" w:themeTint="A6"/>
      <w:lang w:val="tr-TR"/>
    </w:rPr>
  </w:style>
  <w:style w:type="character" w:customStyle="1" w:styleId="Heading7Char">
    <w:name w:val="Heading 7 Char"/>
    <w:basedOn w:val="DefaultParagraphFont"/>
    <w:link w:val="Heading7"/>
    <w:uiPriority w:val="9"/>
    <w:semiHidden/>
    <w:rsid w:val="007741C9"/>
    <w:rPr>
      <w:rFonts w:eastAsiaTheme="majorEastAsia" w:cstheme="majorBidi"/>
      <w:noProof/>
      <w:color w:val="595959" w:themeColor="text1" w:themeTint="A6"/>
      <w:lang w:val="tr-TR"/>
    </w:rPr>
  </w:style>
  <w:style w:type="character" w:customStyle="1" w:styleId="Heading8Char">
    <w:name w:val="Heading 8 Char"/>
    <w:basedOn w:val="DefaultParagraphFont"/>
    <w:link w:val="Heading8"/>
    <w:uiPriority w:val="9"/>
    <w:semiHidden/>
    <w:rsid w:val="007741C9"/>
    <w:rPr>
      <w:rFonts w:eastAsiaTheme="majorEastAsia" w:cstheme="majorBidi"/>
      <w:i/>
      <w:iCs/>
      <w:noProof/>
      <w:color w:val="272727" w:themeColor="text1" w:themeTint="D8"/>
      <w:lang w:val="tr-TR"/>
    </w:rPr>
  </w:style>
  <w:style w:type="character" w:customStyle="1" w:styleId="Heading9Char">
    <w:name w:val="Heading 9 Char"/>
    <w:basedOn w:val="DefaultParagraphFont"/>
    <w:link w:val="Heading9"/>
    <w:uiPriority w:val="9"/>
    <w:semiHidden/>
    <w:rsid w:val="007741C9"/>
    <w:rPr>
      <w:rFonts w:eastAsiaTheme="majorEastAsia" w:cstheme="majorBidi"/>
      <w:noProof/>
      <w:color w:val="272727" w:themeColor="text1" w:themeTint="D8"/>
      <w:lang w:val="tr-TR"/>
    </w:rPr>
  </w:style>
  <w:style w:type="paragraph" w:styleId="Title">
    <w:name w:val="Title"/>
    <w:basedOn w:val="Normal"/>
    <w:next w:val="Normal"/>
    <w:link w:val="TitleChar"/>
    <w:uiPriority w:val="10"/>
    <w:qFormat/>
    <w:rsid w:val="007741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1C9"/>
    <w:rPr>
      <w:rFonts w:asciiTheme="majorHAnsi" w:eastAsiaTheme="majorEastAsia" w:hAnsiTheme="majorHAnsi" w:cstheme="majorBidi"/>
      <w:noProof/>
      <w:spacing w:val="-10"/>
      <w:kern w:val="28"/>
      <w:sz w:val="56"/>
      <w:szCs w:val="56"/>
      <w:lang w:val="tr-TR"/>
    </w:rPr>
  </w:style>
  <w:style w:type="paragraph" w:styleId="Subtitle">
    <w:name w:val="Subtitle"/>
    <w:basedOn w:val="Normal"/>
    <w:next w:val="Normal"/>
    <w:link w:val="SubtitleChar"/>
    <w:uiPriority w:val="11"/>
    <w:qFormat/>
    <w:rsid w:val="007741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1C9"/>
    <w:rPr>
      <w:rFonts w:eastAsiaTheme="majorEastAsia" w:cstheme="majorBidi"/>
      <w:noProof/>
      <w:color w:val="595959" w:themeColor="text1" w:themeTint="A6"/>
      <w:spacing w:val="15"/>
      <w:sz w:val="28"/>
      <w:szCs w:val="28"/>
      <w:lang w:val="tr-TR"/>
    </w:rPr>
  </w:style>
  <w:style w:type="paragraph" w:styleId="Quote">
    <w:name w:val="Quote"/>
    <w:basedOn w:val="Normal"/>
    <w:next w:val="Normal"/>
    <w:link w:val="QuoteChar"/>
    <w:uiPriority w:val="29"/>
    <w:qFormat/>
    <w:rsid w:val="007741C9"/>
    <w:pPr>
      <w:spacing w:before="160"/>
      <w:jc w:val="center"/>
    </w:pPr>
    <w:rPr>
      <w:i/>
      <w:iCs/>
      <w:color w:val="404040" w:themeColor="text1" w:themeTint="BF"/>
    </w:rPr>
  </w:style>
  <w:style w:type="character" w:customStyle="1" w:styleId="QuoteChar">
    <w:name w:val="Quote Char"/>
    <w:basedOn w:val="DefaultParagraphFont"/>
    <w:link w:val="Quote"/>
    <w:uiPriority w:val="29"/>
    <w:rsid w:val="007741C9"/>
    <w:rPr>
      <w:i/>
      <w:iCs/>
      <w:noProof/>
      <w:color w:val="404040" w:themeColor="text1" w:themeTint="BF"/>
      <w:lang w:val="tr-TR"/>
    </w:rPr>
  </w:style>
  <w:style w:type="paragraph" w:styleId="ListParagraph">
    <w:name w:val="List Paragraph"/>
    <w:basedOn w:val="Normal"/>
    <w:uiPriority w:val="34"/>
    <w:qFormat/>
    <w:rsid w:val="007741C9"/>
    <w:pPr>
      <w:ind w:left="720"/>
      <w:contextualSpacing/>
    </w:pPr>
  </w:style>
  <w:style w:type="character" w:styleId="IntenseEmphasis">
    <w:name w:val="Intense Emphasis"/>
    <w:basedOn w:val="DefaultParagraphFont"/>
    <w:uiPriority w:val="21"/>
    <w:qFormat/>
    <w:rsid w:val="007741C9"/>
    <w:rPr>
      <w:i/>
      <w:iCs/>
      <w:color w:val="2F5496" w:themeColor="accent1" w:themeShade="BF"/>
    </w:rPr>
  </w:style>
  <w:style w:type="paragraph" w:styleId="IntenseQuote">
    <w:name w:val="Intense Quote"/>
    <w:basedOn w:val="Normal"/>
    <w:next w:val="Normal"/>
    <w:link w:val="IntenseQuoteChar"/>
    <w:uiPriority w:val="30"/>
    <w:qFormat/>
    <w:rsid w:val="007741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41C9"/>
    <w:rPr>
      <w:i/>
      <w:iCs/>
      <w:noProof/>
      <w:color w:val="2F5496" w:themeColor="accent1" w:themeShade="BF"/>
      <w:lang w:val="tr-TR"/>
    </w:rPr>
  </w:style>
  <w:style w:type="character" w:styleId="IntenseReference">
    <w:name w:val="Intense Reference"/>
    <w:basedOn w:val="DefaultParagraphFont"/>
    <w:uiPriority w:val="32"/>
    <w:qFormat/>
    <w:rsid w:val="007741C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1168</Words>
  <Characters>6663</Characters>
  <Application>Microsoft Office Word</Application>
  <DocSecurity>0</DocSecurity>
  <Lines>55</Lines>
  <Paragraphs>15</Paragraphs>
  <ScaleCrop>false</ScaleCrop>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atakan akbulut</dc:creator>
  <cp:keywords/>
  <dc:description/>
  <cp:lastModifiedBy>atakan akbulut</cp:lastModifiedBy>
  <cp:revision>1</cp:revision>
  <dcterms:created xsi:type="dcterms:W3CDTF">2026-05-14T17:28:00Z</dcterms:created>
  <dcterms:modified xsi:type="dcterms:W3CDTF">2026-05-14T17:33:00Z</dcterms:modified>
</cp:coreProperties>
</file>