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 w:after="0"/>
      </w:pPr>
      <w:r>
        <w:rPr>
          <w:rFonts w:ascii="Arial" w:hAnsi="Arial"/>
          <w:b/>
          <w:i w:val="0"/>
        </w:rPr>
        <w:t>Additional file 1</w:t>
      </w:r>
    </w:p>
    <w:p>
      <w:pPr>
        <w:spacing w:line="480" w:lineRule="auto" w:after="0"/>
      </w:pPr>
      <w:r>
        <w:rPr>
          <w:rFonts w:ascii="Arial" w:hAnsi="Arial"/>
          <w:b w:val="0"/>
          <w:i w:val="0"/>
        </w:rPr>
        <w:t>Supplementary tables and source-data traceability.</w:t>
      </w:r>
    </w:p>
    <w:p>
      <w:pPr>
        <w:spacing w:line="480" w:lineRule="auto" w:after="0"/>
      </w:pPr>
      <w:r>
        <w:rPr>
          <w:rFonts w:ascii="Arial" w:hAnsi="Arial"/>
          <w:b/>
          <w:i w:val="0"/>
        </w:rPr>
        <w:t>Table S1. Expanded sample construction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Item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N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Note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Participant-level analytic pool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501 936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Upstream merged participant-level table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Brain imaging date available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102 730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Assessment-date derived imaging anchor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Imaging plus susceptibility-sensitive MRI features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86 980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MRI feature-family availability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Imaging plus susceptibility-sensitive MRI features plus AD polygenic score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84 716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Primary descriptive cohort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Complete cases for two-domain adjusted models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71 682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Focused model cohort</w:t>
            </w:r>
          </w:p>
        </w:tc>
      </w:tr>
    </w:tbl>
    <w:p>
      <w:pPr>
        <w:spacing w:line="480" w:lineRule="auto" w:after="0"/>
      </w:pPr>
      <w:r>
        <w:rPr>
          <w:rFonts w:ascii="Arial" w:hAnsi="Arial"/>
          <w:b/>
          <w:i w:val="0"/>
        </w:rPr>
        <w:t>Table S2. Endpoint counts by analytic cohort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Endpoint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Baseline analytic pool N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Imaging-date N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Imaging + susceptibility MRI N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Primary descriptive cohort N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Subdural hemorrhage proxy (ICD-10 I62.0)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813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26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20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19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Intracerebral hemorrhage (ICD-10 I61)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2 540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103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79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78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Subarachnoid hemorrhage (ICD-10 I60)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1 298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51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45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44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All-cause dementia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11 455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229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171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167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Alzheimer disease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5 225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113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80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77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Vascular dementia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2 570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38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28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27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Hydrocephalus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1 200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45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38</w:t>
            </w:r>
          </w:p>
        </w:tc>
        <w:tc>
          <w:tcPr>
            <w:tcW w:type="dxa" w:w="1872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38</w:t>
            </w:r>
          </w:p>
        </w:tc>
      </w:tr>
    </w:tbl>
    <w:p>
      <w:pPr>
        <w:spacing w:line="480" w:lineRule="auto" w:after="0"/>
      </w:pPr>
      <w:r>
        <w:rPr>
          <w:rFonts w:ascii="Arial" w:hAnsi="Arial"/>
          <w:b/>
          <w:i w:val="0"/>
        </w:rPr>
        <w:t>Table S3. Two-domain quadrant endpoint rates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Endpoint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Low MRI/Low AD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High MRI/Low AD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Low MRI/High AD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High MRI/High AD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Quadrant Ns</w:t>
            </w:r>
          </w:p>
        </w:tc>
      </w:tr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Subdural hemorrhage proxy (ICD-10 I62.0)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4.82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1.75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1.75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1.61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18 658; 17 183; 17 183; 18 658</w:t>
            </w:r>
          </w:p>
        </w:tc>
      </w:tr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Intracerebral hemorrhage (ICD-10 I61)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10.18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9.31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9.89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8.58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18 658; 17 183; 17 183; 18 658</w:t>
            </w:r>
          </w:p>
        </w:tc>
      </w:tr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Subarachnoid hemorrhage (ICD-10 I60)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5.36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4.66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6.40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5.90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18 658; 17 183; 17 183; 18 658</w:t>
            </w:r>
          </w:p>
        </w:tc>
      </w:tr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All-cause dementia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11.26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8.15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31.43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22.51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18 658; 17 183; 17 183; 18 658</w:t>
            </w:r>
          </w:p>
        </w:tc>
      </w:tr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Alzheimer disease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2.68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1.16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15.13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13.94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18 658; 17 183; 17 183; 18 658</w:t>
            </w:r>
          </w:p>
        </w:tc>
      </w:tr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Vascular dementia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2.14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1.16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3.49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4.82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18 658; 17 183; 17 183; 18 658</w:t>
            </w:r>
          </w:p>
        </w:tc>
      </w:tr>
      <w:tr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Hydrocephalus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2.68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2.33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4.66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3.22</w:t>
            </w:r>
          </w:p>
        </w:tc>
        <w:tc>
          <w:tcPr>
            <w:tcW w:type="dxa" w:w="156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18 658; 17 183; 17 183; 18 658</w:t>
            </w:r>
          </w:p>
        </w:tc>
      </w:tr>
    </w:tbl>
    <w:p>
      <w:pPr>
        <w:spacing w:line="480" w:lineRule="auto" w:after="0"/>
      </w:pPr>
      <w:r>
        <w:rPr>
          <w:rFonts w:ascii="Arial" w:hAnsi="Arial"/>
          <w:b w:val="0"/>
          <w:i w:val="0"/>
        </w:rPr>
        <w:t>Note. Values are events per 10 000 focused-model participants. AD = Alzheimer disease; MRI = magnetic resonance imaging.</w:t>
      </w:r>
    </w:p>
    <w:p>
      <w:pPr>
        <w:spacing w:line="480" w:lineRule="auto" w:after="0"/>
      </w:pPr>
      <w:r>
        <w:rPr>
          <w:rFonts w:ascii="Arial" w:hAnsi="Arial"/>
          <w:b/>
          <w:i w:val="0"/>
        </w:rPr>
        <w:t>Table S4. Score construction and field-family mapping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Dimension or component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Field-family mapping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Orientation and processing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Interpretation boundary</w:t>
            </w:r>
          </w:p>
        </w:tc>
      </w:tr>
      <w:tr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Scalar susceptibility MRI components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p24475 and p24476, left/right hippocampus median magnetic susceptibility; p25034 and p25035, left/right hippocampus median T2*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Scalar components standardized; T2* inverse-coded so that lower T2* reflected greater susceptibility-sensitive burden; dimension residualized for age, age-squared, and sex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Proxy susceptibility-sensitive MRI dimension, not clinical CAA diagnosis</w:t>
            </w:r>
          </w:p>
        </w:tc>
      </w:tr>
      <w:tr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Availability, quality-control, or source-documentation fields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p20219 and p20251 bulk SWI image fields; p24418 temporary protocol-change indicator; p31230 and p31231 PANDORA SWI QSM/T2star inclusion indicators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Used only for availability, quality-control, or field-family documentation where applicable; not treated as continuous susceptibility-burden components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Documents the source field family and avoids interpreting non-scalar fields as quantitative burden measures</w:t>
            </w:r>
          </w:p>
        </w:tc>
      </w:tr>
      <w:tr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AD PRS component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p26206 and p26207, UK Biobank standard and enhanced Alzheimer disease PRS releases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Treated as one AD PRS field-family component after standardization; when both releases were available, standardized values were averaged; when only one release was available, the available standardized PRS represented the component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Represents AD genetic liability proxy; the two PRS releases were not interpreted as independent genetic mechanisms</w:t>
            </w:r>
          </w:p>
        </w:tc>
      </w:tr>
      <w:tr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Hippocampal volume component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p25019 and p25020, left/right hippocampal volume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Left/right volumes standardized and averaged before inverse-coding; no additional intracranial-volume adjustment in the current aggregate analysis</w:t>
            </w:r>
          </w:p>
        </w:tc>
        <w:tc>
          <w:tcPr>
            <w:tcW w:type="dxa" w:w="234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Structural proxy for AD-related vulnerability, not diagnostic classification</w:t>
            </w:r>
          </w:p>
        </w:tc>
      </w:tr>
    </w:tbl>
    <w:p>
      <w:pPr>
        <w:spacing w:line="480" w:lineRule="auto" w:after="0"/>
      </w:pPr>
      <w:r>
        <w:rPr>
          <w:rFonts w:ascii="Arial" w:hAnsi="Arial"/>
          <w:b/>
          <w:i w:val="0"/>
        </w:rPr>
        <w:t>Table S5. Summary source-data traceability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Submitted item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Source-data files in Additional file 4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/>
                <w:sz w:val="18"/>
              </w:rPr>
              <w:t>Notes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Figure 1 and Table 1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Study_population_availability.tsv; Endpoint_counts_by_cohort.tsv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Aggregated cohort and endpoint-count source data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Figure 2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Two_domain_quadrant_endpoint_rates_all.tsv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Two-domain endpoint rates for all focused participants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Figure 3 and Table 2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Adjusted_joint_axis_model_estimates.tsv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Focused joint-axis logistic model estimates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Additional file 2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Age_sex_residualized_score_endpoint_rates.tsv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Age- and sex-residualized composite score endpoint rates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Additional file 3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Decomposed_axis_endpoint_rates.tsv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Decomposed susceptibility MRI and AD-related dimension endpoint rates</w:t>
            </w:r>
          </w:p>
        </w:tc>
      </w:tr>
      <w:tr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Additional modelling source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Adjusted_quadrant_model_estimates.tsv</w:t>
            </w:r>
          </w:p>
        </w:tc>
        <w:tc>
          <w:tcPr>
            <w:tcW w:type="dxa" w:w="3120"/>
            <w:vAlign w:val="top"/>
          </w:tcPr>
          <w:p>
            <w:pPr>
              <w:spacing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Quadrant model estimates supporting supplementary interpretation</w:t>
            </w:r>
          </w:p>
        </w:tc>
      </w:tr>
    </w:tbl>
    <w:p>
      <w:pPr>
        <w:spacing w:line="480" w:lineRule="auto" w:after="0"/>
      </w:pPr>
      <w:r>
        <w:rPr>
          <w:rFonts w:ascii="Arial" w:hAnsi="Arial"/>
          <w:b w:val="0"/>
          <w:i w:val="0"/>
        </w:rPr>
        <w:t>Note. Source-data files are aggregated and contain no individual-level UK Biobank data.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Yang</dc:creator>
  <cp:keywords/>
  <dc:description>generated by python-docx</dc:description>
  <cp:lastModifiedBy>Nan Yang</cp:lastModifiedBy>
  <cp:revision>1</cp:revision>
  <dcterms:created xsi:type="dcterms:W3CDTF">2013-12-23T23:15:00Z</dcterms:created>
  <dcterms:modified xsi:type="dcterms:W3CDTF">2013-12-23T23:15:00Z</dcterms:modified>
  <cp:category/>
</cp:coreProperties>
</file>