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D2BA7" w14:textId="77777777" w:rsidR="00C5793E" w:rsidRPr="00CB6A1F" w:rsidRDefault="0004343F" w:rsidP="00C5793E">
      <w:pPr>
        <w:rPr>
          <w:rFonts w:cstheme="minorHAnsi"/>
        </w:rPr>
      </w:pPr>
      <w:r w:rsidRPr="00CB6A1F">
        <w:rPr>
          <w:rFonts w:cstheme="minorHAnsi"/>
          <w:noProof/>
        </w:rPr>
        <w:drawing>
          <wp:inline distT="0" distB="0" distL="0" distR="0" wp14:anchorId="2A832BB6" wp14:editId="0530A57C">
            <wp:extent cx="5943600" cy="3962400"/>
            <wp:effectExtent l="0" t="0" r="0" b="0"/>
            <wp:docPr id="7634247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424724" name="Picture 763424724"/>
                    <pic:cNvPicPr/>
                  </pic:nvPicPr>
                  <pic:blipFill>
                    <a:blip r:embed="rId4"/>
                    <a:stretch>
                      <a:fillRect/>
                    </a:stretch>
                  </pic:blipFill>
                  <pic:spPr>
                    <a:xfrm>
                      <a:off x="0" y="0"/>
                      <a:ext cx="5943600" cy="3962400"/>
                    </a:xfrm>
                    <a:prstGeom prst="rect">
                      <a:avLst/>
                    </a:prstGeom>
                  </pic:spPr>
                </pic:pic>
              </a:graphicData>
            </a:graphic>
          </wp:inline>
        </w:drawing>
      </w:r>
    </w:p>
    <w:p w14:paraId="180099BC" w14:textId="6491A839" w:rsidR="00C5793E" w:rsidRPr="00CB6A1F" w:rsidRDefault="00C5793E" w:rsidP="00C5793E">
      <w:pPr>
        <w:rPr>
          <w:rFonts w:cstheme="minorHAnsi"/>
        </w:rPr>
      </w:pPr>
      <w:r w:rsidRPr="00CB6A1F">
        <w:rPr>
          <w:rFonts w:cstheme="minorHAnsi"/>
          <w:b/>
          <w:bCs/>
        </w:rPr>
        <w:t>Fig S1.</w:t>
      </w:r>
      <w:r w:rsidRPr="00CB6A1F">
        <w:rPr>
          <w:rFonts w:cstheme="minorHAnsi"/>
        </w:rPr>
        <w:t xml:space="preserve"> Soil chemistry response to AMF isolates and inoculation strategies. Plantago lanceolata was inoculated </w:t>
      </w:r>
      <w:r w:rsidRPr="00CB6A1F">
        <w:rPr>
          <w:rFonts w:cstheme="minorHAnsi"/>
          <w:color w:val="000000" w:themeColor="text1"/>
        </w:rPr>
        <w:t>with one of three arbuscular mycorrhizal fungal (AMF) (CC4, Cuba8 and DAOM197198) before host exposure to soil (pre-</w:t>
      </w:r>
      <w:r w:rsidR="00C6557A" w:rsidRPr="00CB6A1F">
        <w:rPr>
          <w:rFonts w:cstheme="minorHAnsi"/>
          <w:color w:val="000000" w:themeColor="text1"/>
        </w:rPr>
        <w:t>inoculation</w:t>
      </w:r>
      <w:r w:rsidRPr="00CB6A1F">
        <w:rPr>
          <w:rFonts w:cstheme="minorHAnsi"/>
          <w:color w:val="000000" w:themeColor="text1"/>
        </w:rPr>
        <w:t xml:space="preserve">), at the same time as soil exposure (co-inoculation) or a combination at 2 </w:t>
      </w:r>
      <w:r w:rsidR="00C6557A" w:rsidRPr="00CB6A1F">
        <w:rPr>
          <w:rFonts w:cstheme="minorHAnsi"/>
          <w:color w:val="000000" w:themeColor="text1"/>
        </w:rPr>
        <w:t>months</w:t>
      </w:r>
      <w:r w:rsidRPr="00CB6A1F">
        <w:rPr>
          <w:rFonts w:cstheme="minorHAnsi"/>
          <w:color w:val="000000" w:themeColor="text1"/>
        </w:rPr>
        <w:t xml:space="preserve"> (red lines) and 4 months (blue lines) post inoculation. Dots represent mean and SE.  </w:t>
      </w:r>
      <w:r w:rsidR="0004343F" w:rsidRPr="00CB6A1F">
        <w:rPr>
          <w:rFonts w:cstheme="minorHAnsi"/>
          <w:color w:val="000000" w:themeColor="text1"/>
        </w:rPr>
        <w:t>Dotted line is mean control values and 95% CI.</w:t>
      </w:r>
    </w:p>
    <w:p w14:paraId="6A1682B5" w14:textId="77777777" w:rsidR="00C5793E" w:rsidRPr="00CB6A1F" w:rsidRDefault="00C5793E">
      <w:pPr>
        <w:rPr>
          <w:rFonts w:cstheme="minorHAnsi"/>
        </w:rPr>
      </w:pPr>
    </w:p>
    <w:p w14:paraId="7CA1498B" w14:textId="77777777" w:rsidR="00C5793E" w:rsidRPr="00CB6A1F" w:rsidRDefault="00C5793E">
      <w:pPr>
        <w:rPr>
          <w:rFonts w:cstheme="minorHAnsi"/>
        </w:rPr>
      </w:pPr>
    </w:p>
    <w:p w14:paraId="528F59FF" w14:textId="77777777" w:rsidR="00C5793E" w:rsidRPr="00CB6A1F" w:rsidRDefault="00C5793E" w:rsidP="00C5793E">
      <w:pPr>
        <w:rPr>
          <w:rFonts w:cstheme="minorHAnsi"/>
        </w:rPr>
      </w:pPr>
      <w:r w:rsidRPr="00CB6A1F">
        <w:rPr>
          <w:rFonts w:cstheme="minorHAnsi"/>
          <w:noProof/>
        </w:rPr>
        <w:lastRenderedPageBreak/>
        <w:drawing>
          <wp:inline distT="0" distB="0" distL="0" distR="0" wp14:anchorId="638C65EF" wp14:editId="1C2F6A0D">
            <wp:extent cx="5943600" cy="3962400"/>
            <wp:effectExtent l="0" t="0" r="0" b="0"/>
            <wp:docPr id="17286075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607523" name="Picture 1728607523"/>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607C7941" w14:textId="77777777" w:rsidR="00C5793E" w:rsidRDefault="00C5793E" w:rsidP="00C5793E">
      <w:pPr>
        <w:pStyle w:val="NormalWeb"/>
        <w:spacing w:after="160"/>
        <w:rPr>
          <w:rFonts w:asciiTheme="minorHAnsi" w:hAnsiTheme="minorHAnsi" w:cstheme="minorHAnsi"/>
          <w:color w:val="000000" w:themeColor="text1"/>
        </w:rPr>
      </w:pPr>
      <w:r w:rsidRPr="00CB6A1F">
        <w:rPr>
          <w:rFonts w:asciiTheme="minorHAnsi" w:hAnsiTheme="minorHAnsi" w:cstheme="minorHAnsi"/>
          <w:b/>
          <w:bCs/>
        </w:rPr>
        <w:t>Fig. S2</w:t>
      </w:r>
      <w:r w:rsidRPr="00CB6A1F">
        <w:rPr>
          <w:rFonts w:asciiTheme="minorHAnsi" w:hAnsiTheme="minorHAnsi" w:cstheme="minorHAnsi"/>
        </w:rPr>
        <w:t xml:space="preserve"> Relative abundance of the 30 most abundant AMF taxa across isolates (Control, CC4, Cuba8, and DAOM197198).and inoculation treatments </w:t>
      </w:r>
      <w:r w:rsidRPr="00CB6A1F">
        <w:rPr>
          <w:rFonts w:asciiTheme="minorHAnsi" w:hAnsiTheme="minorHAnsi" w:cstheme="minorHAnsi"/>
          <w:color w:val="000000" w:themeColor="text1"/>
        </w:rPr>
        <w:t>before host exposure to soil (pre-inoculation), at the same time as soil exposure (co-inoculation) or a combination at 4 months post inoculation</w:t>
      </w:r>
    </w:p>
    <w:p w14:paraId="39BDAA0D" w14:textId="77777777" w:rsidR="00CB6A1F" w:rsidRDefault="00CB6A1F" w:rsidP="00C5793E">
      <w:pPr>
        <w:pStyle w:val="NormalWeb"/>
        <w:spacing w:after="160"/>
        <w:rPr>
          <w:rFonts w:asciiTheme="minorHAnsi" w:hAnsiTheme="minorHAnsi" w:cstheme="minorHAnsi"/>
          <w:color w:val="000000" w:themeColor="text1"/>
        </w:rPr>
      </w:pPr>
    </w:p>
    <w:p w14:paraId="51E3F6C1" w14:textId="77777777" w:rsidR="00CB6A1F" w:rsidRPr="00CB6A1F" w:rsidRDefault="00CB6A1F" w:rsidP="00C5793E">
      <w:pPr>
        <w:pStyle w:val="NormalWeb"/>
        <w:spacing w:after="160"/>
        <w:rPr>
          <w:rFonts w:asciiTheme="minorHAnsi" w:hAnsiTheme="minorHAnsi" w:cstheme="minorHAnsi"/>
        </w:rPr>
      </w:pPr>
    </w:p>
    <w:p w14:paraId="2244A8DA" w14:textId="77777777" w:rsidR="00C5793E" w:rsidRPr="00CB6A1F" w:rsidRDefault="00C5793E">
      <w:pPr>
        <w:rPr>
          <w:rFonts w:cstheme="minorHAnsi"/>
        </w:rPr>
      </w:pPr>
    </w:p>
    <w:p w14:paraId="2A233C84" w14:textId="7799E47B" w:rsidR="00C5793E" w:rsidRPr="00CB6A1F" w:rsidRDefault="00C5793E" w:rsidP="00C5793E">
      <w:pPr>
        <w:spacing w:after="0" w:line="240" w:lineRule="auto"/>
        <w:rPr>
          <w:rFonts w:cstheme="minorHAnsi"/>
        </w:rPr>
      </w:pPr>
      <w:r w:rsidRPr="00CB6A1F">
        <w:rPr>
          <w:rFonts w:cstheme="minorHAnsi"/>
          <w:noProof/>
        </w:rPr>
        <w:lastRenderedPageBreak/>
        <w:drawing>
          <wp:inline distT="0" distB="0" distL="0" distR="0" wp14:anchorId="0DD1DEF8" wp14:editId="2452796B">
            <wp:extent cx="5092995" cy="4295436"/>
            <wp:effectExtent l="0" t="0" r="0" b="0"/>
            <wp:docPr id="50565229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52292" name="Picture 505652292"/>
                    <pic:cNvPicPr/>
                  </pic:nvPicPr>
                  <pic:blipFill>
                    <a:blip r:embed="rId6" cstate="print">
                      <a:extLst>
                        <a:ext uri="{28A0092B-C50C-407E-A947-70E740481C1C}">
                          <a14:useLocalDpi xmlns:a14="http://schemas.microsoft.com/office/drawing/2010/main" val="0"/>
                        </a:ext>
                      </a:extLst>
                    </a:blip>
                    <a:stretch>
                      <a:fillRect/>
                    </a:stretch>
                  </pic:blipFill>
                  <pic:spPr>
                    <a:xfrm>
                      <a:off x="0" y="0"/>
                      <a:ext cx="5121477" cy="4319458"/>
                    </a:xfrm>
                    <a:prstGeom prst="rect">
                      <a:avLst/>
                    </a:prstGeom>
                  </pic:spPr>
                </pic:pic>
              </a:graphicData>
            </a:graphic>
          </wp:inline>
        </w:drawing>
      </w:r>
    </w:p>
    <w:p w14:paraId="24D556B7" w14:textId="7A439951" w:rsidR="00C5793E" w:rsidRPr="00CB6A1F" w:rsidRDefault="00C5793E" w:rsidP="00C5793E">
      <w:pPr>
        <w:spacing w:after="0" w:line="240" w:lineRule="auto"/>
        <w:rPr>
          <w:rFonts w:cstheme="minorHAnsi"/>
        </w:rPr>
      </w:pPr>
      <w:r w:rsidRPr="00CB6A1F">
        <w:rPr>
          <w:rFonts w:cstheme="minorHAnsi"/>
          <w:b/>
          <w:bCs/>
        </w:rPr>
        <w:t>Fig. S3</w:t>
      </w:r>
      <w:r w:rsidRPr="00CB6A1F">
        <w:rPr>
          <w:rFonts w:cstheme="minorHAnsi"/>
        </w:rPr>
        <w:t>: R</w:t>
      </w:r>
      <w:r w:rsidR="00CB6A1F">
        <w:rPr>
          <w:rFonts w:cstheme="minorHAnsi"/>
        </w:rPr>
        <w:t xml:space="preserve">arefaction </w:t>
      </w:r>
      <w:r w:rsidRPr="00CB6A1F">
        <w:rPr>
          <w:rFonts w:cstheme="minorHAnsi"/>
        </w:rPr>
        <w:t>curve</w:t>
      </w:r>
      <w:r w:rsidR="00CB6A1F">
        <w:rPr>
          <w:rFonts w:cstheme="minorHAnsi"/>
        </w:rPr>
        <w:t>. Lines represent individual samples. Samples were rarefied to</w:t>
      </w:r>
      <w:r w:rsidRPr="00CB6A1F">
        <w:rPr>
          <w:rFonts w:cstheme="minorHAnsi"/>
        </w:rPr>
        <w:t xml:space="preserve"> 4000 seq</w:t>
      </w:r>
      <w:r w:rsidR="00CB6A1F">
        <w:rPr>
          <w:rFonts w:cstheme="minorHAnsi"/>
        </w:rPr>
        <w:t>uences/sample (red line).</w:t>
      </w:r>
    </w:p>
    <w:p w14:paraId="276C7E41" w14:textId="77777777" w:rsidR="00C5793E" w:rsidRPr="00CB6A1F" w:rsidRDefault="00C5793E" w:rsidP="00C5793E">
      <w:pPr>
        <w:spacing w:after="0" w:line="240" w:lineRule="auto"/>
        <w:rPr>
          <w:rFonts w:cstheme="minorHAnsi"/>
        </w:rPr>
      </w:pPr>
    </w:p>
    <w:p w14:paraId="499172B0" w14:textId="5203EC49" w:rsidR="00D23800" w:rsidRDefault="00D23800" w:rsidP="00CB6A1F">
      <w:pPr>
        <w:spacing w:after="0" w:line="240" w:lineRule="auto"/>
        <w:rPr>
          <w:rFonts w:cstheme="minorHAnsi"/>
          <w:b/>
          <w:bCs/>
        </w:rPr>
      </w:pPr>
      <w:bookmarkStart w:id="0" w:name="_Toc219046883"/>
      <w:r>
        <w:rPr>
          <w:rFonts w:cstheme="minorHAnsi"/>
          <w:b/>
          <w:bCs/>
          <w:noProof/>
        </w:rPr>
        <w:drawing>
          <wp:inline distT="0" distB="0" distL="0" distR="0" wp14:anchorId="7B8C8827" wp14:editId="595045FD">
            <wp:extent cx="5029200" cy="2908300"/>
            <wp:effectExtent l="0" t="0" r="0" b="0"/>
            <wp:docPr id="19418393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839331" name="Picture 1941839331"/>
                    <pic:cNvPicPr/>
                  </pic:nvPicPr>
                  <pic:blipFill>
                    <a:blip r:embed="rId7"/>
                    <a:stretch>
                      <a:fillRect/>
                    </a:stretch>
                  </pic:blipFill>
                  <pic:spPr>
                    <a:xfrm>
                      <a:off x="0" y="0"/>
                      <a:ext cx="5029200" cy="2908300"/>
                    </a:xfrm>
                    <a:prstGeom prst="rect">
                      <a:avLst/>
                    </a:prstGeom>
                  </pic:spPr>
                </pic:pic>
              </a:graphicData>
            </a:graphic>
          </wp:inline>
        </w:drawing>
      </w:r>
    </w:p>
    <w:p w14:paraId="7F5F0264" w14:textId="77777777" w:rsidR="00D23800" w:rsidRDefault="00D23800" w:rsidP="00CB6A1F">
      <w:pPr>
        <w:spacing w:after="0" w:line="240" w:lineRule="auto"/>
        <w:rPr>
          <w:rFonts w:cstheme="minorHAnsi"/>
          <w:b/>
          <w:bCs/>
        </w:rPr>
      </w:pPr>
    </w:p>
    <w:p w14:paraId="3D596D17" w14:textId="49827956" w:rsidR="00D23800" w:rsidRDefault="00D23800" w:rsidP="00CB6A1F">
      <w:pPr>
        <w:spacing w:after="0" w:line="240" w:lineRule="auto"/>
        <w:rPr>
          <w:rFonts w:cstheme="minorHAnsi"/>
        </w:rPr>
      </w:pPr>
      <w:r w:rsidRPr="00CB6A1F">
        <w:rPr>
          <w:rFonts w:cstheme="minorHAnsi"/>
          <w:b/>
          <w:bCs/>
        </w:rPr>
        <w:t>Fig. S</w:t>
      </w:r>
      <w:r>
        <w:rPr>
          <w:rFonts w:cstheme="minorHAnsi"/>
          <w:b/>
          <w:bCs/>
        </w:rPr>
        <w:t>4</w:t>
      </w:r>
      <w:r w:rsidRPr="00CB6A1F">
        <w:rPr>
          <w:rFonts w:cstheme="minorHAnsi"/>
        </w:rPr>
        <w:t xml:space="preserve">: </w:t>
      </w:r>
      <w:r>
        <w:rPr>
          <w:rFonts w:cstheme="minorHAnsi"/>
        </w:rPr>
        <w:t>Histogram of shoot mycorrhizal response (ShootMR)</w:t>
      </w:r>
    </w:p>
    <w:p w14:paraId="4D7F7533" w14:textId="40B134AA" w:rsidR="00D23800" w:rsidRDefault="00D23800" w:rsidP="00CB6A1F">
      <w:pPr>
        <w:spacing w:after="0" w:line="240" w:lineRule="auto"/>
        <w:rPr>
          <w:rFonts w:cstheme="minorHAnsi"/>
          <w:b/>
          <w:bCs/>
        </w:rPr>
      </w:pPr>
      <w:r>
        <w:rPr>
          <w:rFonts w:cstheme="minorHAnsi"/>
          <w:b/>
          <w:bCs/>
          <w:noProof/>
        </w:rPr>
        <w:lastRenderedPageBreak/>
        <w:drawing>
          <wp:inline distT="0" distB="0" distL="0" distR="0" wp14:anchorId="693E2DEE" wp14:editId="4D65CD1B">
            <wp:extent cx="5029200" cy="2908300"/>
            <wp:effectExtent l="0" t="0" r="0" b="0"/>
            <wp:docPr id="4818935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893553" name="Picture 481893553"/>
                    <pic:cNvPicPr/>
                  </pic:nvPicPr>
                  <pic:blipFill>
                    <a:blip r:embed="rId8"/>
                    <a:stretch>
                      <a:fillRect/>
                    </a:stretch>
                  </pic:blipFill>
                  <pic:spPr>
                    <a:xfrm>
                      <a:off x="0" y="0"/>
                      <a:ext cx="5029200" cy="2908300"/>
                    </a:xfrm>
                    <a:prstGeom prst="rect">
                      <a:avLst/>
                    </a:prstGeom>
                  </pic:spPr>
                </pic:pic>
              </a:graphicData>
            </a:graphic>
          </wp:inline>
        </w:drawing>
      </w:r>
    </w:p>
    <w:p w14:paraId="1F31E5B6" w14:textId="36348C47" w:rsidR="00D23800" w:rsidRDefault="00D23800" w:rsidP="00D23800">
      <w:pPr>
        <w:spacing w:after="0" w:line="240" w:lineRule="auto"/>
        <w:rPr>
          <w:rFonts w:cstheme="minorHAnsi"/>
        </w:rPr>
      </w:pPr>
      <w:r w:rsidRPr="00CB6A1F">
        <w:rPr>
          <w:rFonts w:cstheme="minorHAnsi"/>
          <w:b/>
          <w:bCs/>
        </w:rPr>
        <w:t>Fig. S</w:t>
      </w:r>
      <w:r>
        <w:rPr>
          <w:rFonts w:cstheme="minorHAnsi"/>
          <w:b/>
          <w:bCs/>
        </w:rPr>
        <w:t>5</w:t>
      </w:r>
      <w:r w:rsidRPr="00CB6A1F">
        <w:rPr>
          <w:rFonts w:cstheme="minorHAnsi"/>
        </w:rPr>
        <w:t xml:space="preserve">: </w:t>
      </w:r>
      <w:r>
        <w:rPr>
          <w:rFonts w:cstheme="minorHAnsi"/>
        </w:rPr>
        <w:t>Histogram of root mycorrhizal response (RootMR)</w:t>
      </w:r>
    </w:p>
    <w:p w14:paraId="5511BB02" w14:textId="77777777" w:rsidR="00D23800" w:rsidRDefault="00D23800" w:rsidP="00D23800">
      <w:pPr>
        <w:spacing w:after="0" w:line="240" w:lineRule="auto"/>
        <w:rPr>
          <w:rFonts w:cstheme="minorHAnsi"/>
          <w:b/>
          <w:bCs/>
        </w:rPr>
      </w:pPr>
    </w:p>
    <w:p w14:paraId="491AF243" w14:textId="317607BA" w:rsidR="00D23800" w:rsidRDefault="00D23800" w:rsidP="00D23800">
      <w:pPr>
        <w:spacing w:after="0" w:line="240" w:lineRule="auto"/>
        <w:rPr>
          <w:rFonts w:cstheme="minorHAnsi"/>
          <w:b/>
          <w:bCs/>
        </w:rPr>
      </w:pPr>
      <w:r>
        <w:rPr>
          <w:rFonts w:cstheme="minorHAnsi"/>
          <w:b/>
          <w:bCs/>
          <w:noProof/>
        </w:rPr>
        <w:drawing>
          <wp:inline distT="0" distB="0" distL="0" distR="0" wp14:anchorId="1813490F" wp14:editId="42DB6D89">
            <wp:extent cx="5029200" cy="2908300"/>
            <wp:effectExtent l="0" t="0" r="0" b="0"/>
            <wp:docPr id="15866927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692739" name="Picture 1586692739"/>
                    <pic:cNvPicPr/>
                  </pic:nvPicPr>
                  <pic:blipFill>
                    <a:blip r:embed="rId9"/>
                    <a:stretch>
                      <a:fillRect/>
                    </a:stretch>
                  </pic:blipFill>
                  <pic:spPr>
                    <a:xfrm>
                      <a:off x="0" y="0"/>
                      <a:ext cx="5029200" cy="2908300"/>
                    </a:xfrm>
                    <a:prstGeom prst="rect">
                      <a:avLst/>
                    </a:prstGeom>
                  </pic:spPr>
                </pic:pic>
              </a:graphicData>
            </a:graphic>
          </wp:inline>
        </w:drawing>
      </w:r>
    </w:p>
    <w:p w14:paraId="58464C16" w14:textId="244012B8" w:rsidR="00D23800" w:rsidRDefault="00D23800" w:rsidP="00D23800">
      <w:pPr>
        <w:spacing w:after="0" w:line="240" w:lineRule="auto"/>
        <w:rPr>
          <w:rFonts w:cstheme="minorHAnsi"/>
        </w:rPr>
      </w:pPr>
      <w:r w:rsidRPr="00CB6A1F">
        <w:rPr>
          <w:rFonts w:cstheme="minorHAnsi"/>
          <w:b/>
          <w:bCs/>
        </w:rPr>
        <w:t>Fig. S</w:t>
      </w:r>
      <w:r>
        <w:rPr>
          <w:rFonts w:cstheme="minorHAnsi"/>
          <w:b/>
          <w:bCs/>
        </w:rPr>
        <w:t>6</w:t>
      </w:r>
      <w:r w:rsidRPr="00CB6A1F">
        <w:rPr>
          <w:rFonts w:cstheme="minorHAnsi"/>
        </w:rPr>
        <w:t xml:space="preserve">: </w:t>
      </w:r>
      <w:r>
        <w:rPr>
          <w:rFonts w:cstheme="minorHAnsi"/>
        </w:rPr>
        <w:t>Histogram of total shoot phosphorus mycorrhizal response (ShootPMR)</w:t>
      </w:r>
    </w:p>
    <w:p w14:paraId="5B5FAA38" w14:textId="05203383" w:rsidR="00D23800" w:rsidRDefault="00D23800" w:rsidP="00CB6A1F">
      <w:pPr>
        <w:spacing w:after="0" w:line="240" w:lineRule="auto"/>
        <w:rPr>
          <w:rFonts w:cstheme="minorHAnsi"/>
          <w:b/>
          <w:bCs/>
        </w:rPr>
      </w:pPr>
      <w:r>
        <w:rPr>
          <w:rFonts w:cstheme="minorHAnsi"/>
          <w:b/>
          <w:bCs/>
          <w:noProof/>
        </w:rPr>
        <w:lastRenderedPageBreak/>
        <w:drawing>
          <wp:inline distT="0" distB="0" distL="0" distR="0" wp14:anchorId="3F64D061" wp14:editId="65445C47">
            <wp:extent cx="5029200" cy="2908300"/>
            <wp:effectExtent l="0" t="0" r="0" b="0"/>
            <wp:docPr id="3271940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194082" name="Picture 327194082"/>
                    <pic:cNvPicPr/>
                  </pic:nvPicPr>
                  <pic:blipFill>
                    <a:blip r:embed="rId10"/>
                    <a:stretch>
                      <a:fillRect/>
                    </a:stretch>
                  </pic:blipFill>
                  <pic:spPr>
                    <a:xfrm>
                      <a:off x="0" y="0"/>
                      <a:ext cx="5029200" cy="2908300"/>
                    </a:xfrm>
                    <a:prstGeom prst="rect">
                      <a:avLst/>
                    </a:prstGeom>
                  </pic:spPr>
                </pic:pic>
              </a:graphicData>
            </a:graphic>
          </wp:inline>
        </w:drawing>
      </w:r>
    </w:p>
    <w:p w14:paraId="49154747" w14:textId="3B50A4E8" w:rsidR="00D23800" w:rsidRDefault="00D23800" w:rsidP="00D23800">
      <w:pPr>
        <w:spacing w:after="0" w:line="240" w:lineRule="auto"/>
        <w:rPr>
          <w:rFonts w:cstheme="minorHAnsi"/>
        </w:rPr>
      </w:pPr>
      <w:r w:rsidRPr="00CB6A1F">
        <w:rPr>
          <w:rFonts w:cstheme="minorHAnsi"/>
          <w:b/>
          <w:bCs/>
        </w:rPr>
        <w:t>Fig. S</w:t>
      </w:r>
      <w:r>
        <w:rPr>
          <w:rFonts w:cstheme="minorHAnsi"/>
          <w:b/>
          <w:bCs/>
        </w:rPr>
        <w:t>5</w:t>
      </w:r>
      <w:r w:rsidRPr="00CB6A1F">
        <w:rPr>
          <w:rFonts w:cstheme="minorHAnsi"/>
        </w:rPr>
        <w:t xml:space="preserve">: </w:t>
      </w:r>
      <w:r>
        <w:rPr>
          <w:rFonts w:cstheme="minorHAnsi"/>
        </w:rPr>
        <w:t>Histogram of soil phosphorus concentration</w:t>
      </w:r>
    </w:p>
    <w:p w14:paraId="0ED39204" w14:textId="2FAA3DD0" w:rsidR="00D23800" w:rsidRDefault="00D23800" w:rsidP="00D23800">
      <w:pPr>
        <w:spacing w:after="0" w:line="240" w:lineRule="auto"/>
        <w:rPr>
          <w:rFonts w:cstheme="minorHAnsi"/>
        </w:rPr>
      </w:pPr>
      <w:r>
        <w:rPr>
          <w:rFonts w:cstheme="minorHAnsi"/>
          <w:noProof/>
        </w:rPr>
        <w:drawing>
          <wp:inline distT="0" distB="0" distL="0" distR="0" wp14:anchorId="311219CC" wp14:editId="759246CF">
            <wp:extent cx="5029200" cy="2908300"/>
            <wp:effectExtent l="0" t="0" r="0" b="0"/>
            <wp:docPr id="16067345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734577" name="Picture 1606734577"/>
                    <pic:cNvPicPr/>
                  </pic:nvPicPr>
                  <pic:blipFill>
                    <a:blip r:embed="rId11"/>
                    <a:stretch>
                      <a:fillRect/>
                    </a:stretch>
                  </pic:blipFill>
                  <pic:spPr>
                    <a:xfrm>
                      <a:off x="0" y="0"/>
                      <a:ext cx="5029200" cy="2908300"/>
                    </a:xfrm>
                    <a:prstGeom prst="rect">
                      <a:avLst/>
                    </a:prstGeom>
                  </pic:spPr>
                </pic:pic>
              </a:graphicData>
            </a:graphic>
          </wp:inline>
        </w:drawing>
      </w:r>
    </w:p>
    <w:p w14:paraId="505C482F" w14:textId="4AEB3C38" w:rsidR="00D23800" w:rsidRDefault="00D23800" w:rsidP="00D23800">
      <w:pPr>
        <w:spacing w:after="0" w:line="240" w:lineRule="auto"/>
        <w:rPr>
          <w:rFonts w:cstheme="minorHAnsi"/>
        </w:rPr>
      </w:pPr>
      <w:r w:rsidRPr="00CB6A1F">
        <w:rPr>
          <w:rFonts w:cstheme="minorHAnsi"/>
          <w:b/>
          <w:bCs/>
        </w:rPr>
        <w:t>Fig. S</w:t>
      </w:r>
      <w:r>
        <w:rPr>
          <w:rFonts w:cstheme="minorHAnsi"/>
          <w:b/>
          <w:bCs/>
        </w:rPr>
        <w:t>6</w:t>
      </w:r>
      <w:r w:rsidRPr="00CB6A1F">
        <w:rPr>
          <w:rFonts w:cstheme="minorHAnsi"/>
        </w:rPr>
        <w:t xml:space="preserve">: </w:t>
      </w:r>
      <w:r>
        <w:rPr>
          <w:rFonts w:cstheme="minorHAnsi"/>
        </w:rPr>
        <w:t>Histogram of soil pH</w:t>
      </w:r>
    </w:p>
    <w:p w14:paraId="0A704764" w14:textId="03340EE2" w:rsidR="00D23800" w:rsidRDefault="00D23800" w:rsidP="00D23800">
      <w:pPr>
        <w:spacing w:after="0" w:line="240" w:lineRule="auto"/>
        <w:rPr>
          <w:rFonts w:cstheme="minorHAnsi"/>
        </w:rPr>
      </w:pPr>
      <w:r>
        <w:rPr>
          <w:rFonts w:cstheme="minorHAnsi"/>
          <w:noProof/>
        </w:rPr>
        <w:lastRenderedPageBreak/>
        <w:drawing>
          <wp:inline distT="0" distB="0" distL="0" distR="0" wp14:anchorId="7F2BAF5E" wp14:editId="21DA7FA3">
            <wp:extent cx="5029200" cy="2908300"/>
            <wp:effectExtent l="0" t="0" r="0" b="0"/>
            <wp:docPr id="31064934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649346" name="Picture 310649346"/>
                    <pic:cNvPicPr/>
                  </pic:nvPicPr>
                  <pic:blipFill>
                    <a:blip r:embed="rId12"/>
                    <a:stretch>
                      <a:fillRect/>
                    </a:stretch>
                  </pic:blipFill>
                  <pic:spPr>
                    <a:xfrm>
                      <a:off x="0" y="0"/>
                      <a:ext cx="5029200" cy="2908300"/>
                    </a:xfrm>
                    <a:prstGeom prst="rect">
                      <a:avLst/>
                    </a:prstGeom>
                  </pic:spPr>
                </pic:pic>
              </a:graphicData>
            </a:graphic>
          </wp:inline>
        </w:drawing>
      </w:r>
    </w:p>
    <w:p w14:paraId="4FB484B1" w14:textId="22CC3FB9" w:rsidR="00D23800" w:rsidRDefault="00D23800" w:rsidP="00CB6A1F">
      <w:pPr>
        <w:spacing w:after="0" w:line="240" w:lineRule="auto"/>
        <w:rPr>
          <w:rFonts w:cstheme="minorHAnsi"/>
        </w:rPr>
      </w:pPr>
      <w:r w:rsidRPr="00CB6A1F">
        <w:rPr>
          <w:rFonts w:cstheme="minorHAnsi"/>
          <w:b/>
          <w:bCs/>
        </w:rPr>
        <w:t>Fig. S</w:t>
      </w:r>
      <w:r>
        <w:rPr>
          <w:rFonts w:cstheme="minorHAnsi"/>
          <w:b/>
          <w:bCs/>
        </w:rPr>
        <w:t>7</w:t>
      </w:r>
      <w:r w:rsidRPr="00CB6A1F">
        <w:rPr>
          <w:rFonts w:cstheme="minorHAnsi"/>
        </w:rPr>
        <w:t xml:space="preserve">: </w:t>
      </w:r>
      <w:r>
        <w:rPr>
          <w:rFonts w:cstheme="minorHAnsi"/>
        </w:rPr>
        <w:t>Histogram of species richness</w:t>
      </w:r>
    </w:p>
    <w:p w14:paraId="287642CD" w14:textId="384D0070" w:rsidR="00D23800" w:rsidRDefault="00D23800" w:rsidP="00CB6A1F">
      <w:pPr>
        <w:spacing w:after="0" w:line="240" w:lineRule="auto"/>
        <w:rPr>
          <w:rFonts w:cstheme="minorHAnsi"/>
        </w:rPr>
      </w:pPr>
      <w:r>
        <w:rPr>
          <w:rFonts w:cstheme="minorHAnsi"/>
          <w:noProof/>
        </w:rPr>
        <w:drawing>
          <wp:inline distT="0" distB="0" distL="0" distR="0" wp14:anchorId="7D16A3B9" wp14:editId="6893E4A5">
            <wp:extent cx="5029200" cy="2908300"/>
            <wp:effectExtent l="0" t="0" r="0" b="0"/>
            <wp:docPr id="21652547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525474" name="Picture 216525474"/>
                    <pic:cNvPicPr/>
                  </pic:nvPicPr>
                  <pic:blipFill>
                    <a:blip r:embed="rId13"/>
                    <a:stretch>
                      <a:fillRect/>
                    </a:stretch>
                  </pic:blipFill>
                  <pic:spPr>
                    <a:xfrm>
                      <a:off x="0" y="0"/>
                      <a:ext cx="5029200" cy="2908300"/>
                    </a:xfrm>
                    <a:prstGeom prst="rect">
                      <a:avLst/>
                    </a:prstGeom>
                  </pic:spPr>
                </pic:pic>
              </a:graphicData>
            </a:graphic>
          </wp:inline>
        </w:drawing>
      </w:r>
    </w:p>
    <w:p w14:paraId="23A8F069" w14:textId="74A1E37A" w:rsidR="00D23800" w:rsidRDefault="00D23800" w:rsidP="00D23800">
      <w:pPr>
        <w:spacing w:after="0" w:line="240" w:lineRule="auto"/>
        <w:rPr>
          <w:rFonts w:cstheme="minorHAnsi"/>
        </w:rPr>
      </w:pPr>
      <w:r w:rsidRPr="00CB6A1F">
        <w:rPr>
          <w:rFonts w:cstheme="minorHAnsi"/>
          <w:b/>
          <w:bCs/>
        </w:rPr>
        <w:t>Fig. S</w:t>
      </w:r>
      <w:r>
        <w:rPr>
          <w:rFonts w:cstheme="minorHAnsi"/>
          <w:b/>
          <w:bCs/>
          <w:u w:val="single"/>
        </w:rPr>
        <w:t>8</w:t>
      </w:r>
      <w:r w:rsidRPr="00CB6A1F">
        <w:rPr>
          <w:rFonts w:cstheme="minorHAnsi"/>
        </w:rPr>
        <w:t xml:space="preserve">: </w:t>
      </w:r>
      <w:r>
        <w:rPr>
          <w:rFonts w:cstheme="minorHAnsi"/>
        </w:rPr>
        <w:t>Histogram of Shannon diversity</w:t>
      </w:r>
    </w:p>
    <w:p w14:paraId="1AB46FA5" w14:textId="2166BB72" w:rsidR="00D23800" w:rsidRDefault="00D23800" w:rsidP="00D23800">
      <w:pPr>
        <w:spacing w:after="0" w:line="240" w:lineRule="auto"/>
        <w:rPr>
          <w:rFonts w:cstheme="minorHAnsi"/>
          <w:b/>
          <w:bCs/>
        </w:rPr>
      </w:pPr>
      <w:r>
        <w:rPr>
          <w:rFonts w:cstheme="minorHAnsi"/>
          <w:b/>
          <w:bCs/>
          <w:noProof/>
        </w:rPr>
        <w:lastRenderedPageBreak/>
        <w:drawing>
          <wp:inline distT="0" distB="0" distL="0" distR="0" wp14:anchorId="7D31D555" wp14:editId="47D5D1FF">
            <wp:extent cx="5029200" cy="2908300"/>
            <wp:effectExtent l="0" t="0" r="0" b="0"/>
            <wp:docPr id="39341836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418363" name="Picture 393418363"/>
                    <pic:cNvPicPr/>
                  </pic:nvPicPr>
                  <pic:blipFill>
                    <a:blip r:embed="rId14"/>
                    <a:stretch>
                      <a:fillRect/>
                    </a:stretch>
                  </pic:blipFill>
                  <pic:spPr>
                    <a:xfrm>
                      <a:off x="0" y="0"/>
                      <a:ext cx="5029200" cy="2908300"/>
                    </a:xfrm>
                    <a:prstGeom prst="rect">
                      <a:avLst/>
                    </a:prstGeom>
                  </pic:spPr>
                </pic:pic>
              </a:graphicData>
            </a:graphic>
          </wp:inline>
        </w:drawing>
      </w:r>
    </w:p>
    <w:p w14:paraId="231BB4D4" w14:textId="0FD1BE91" w:rsidR="00D23800" w:rsidRDefault="00D23800" w:rsidP="00D23800">
      <w:pPr>
        <w:spacing w:after="0" w:line="240" w:lineRule="auto"/>
        <w:rPr>
          <w:rFonts w:cstheme="minorHAnsi"/>
          <w:b/>
          <w:bCs/>
        </w:rPr>
      </w:pPr>
      <w:r w:rsidRPr="00CB6A1F">
        <w:rPr>
          <w:rFonts w:cstheme="minorHAnsi"/>
          <w:b/>
          <w:bCs/>
        </w:rPr>
        <w:t>Fig. S</w:t>
      </w:r>
      <w:r>
        <w:rPr>
          <w:rFonts w:cstheme="minorHAnsi"/>
          <w:b/>
          <w:bCs/>
        </w:rPr>
        <w:t>9</w:t>
      </w:r>
      <w:r w:rsidRPr="00CB6A1F">
        <w:rPr>
          <w:rFonts w:cstheme="minorHAnsi"/>
        </w:rPr>
        <w:t xml:space="preserve">: </w:t>
      </w:r>
      <w:r>
        <w:rPr>
          <w:rFonts w:cstheme="minorHAnsi"/>
        </w:rPr>
        <w:t>Histogram of Pielou evenness</w:t>
      </w:r>
    </w:p>
    <w:p w14:paraId="2D86B3B5" w14:textId="77777777" w:rsidR="00D23800" w:rsidRDefault="00D23800" w:rsidP="00CB6A1F">
      <w:pPr>
        <w:spacing w:after="0" w:line="240" w:lineRule="auto"/>
        <w:rPr>
          <w:rFonts w:cstheme="minorHAnsi"/>
          <w:b/>
          <w:bCs/>
        </w:rPr>
      </w:pPr>
    </w:p>
    <w:p w14:paraId="4EFAAF72" w14:textId="77777777" w:rsidR="00F125EF" w:rsidRPr="00CB6A1F" w:rsidRDefault="00F125EF" w:rsidP="00F125EF">
      <w:pPr>
        <w:keepNext/>
        <w:spacing w:after="0" w:line="276" w:lineRule="auto"/>
        <w:rPr>
          <w:rFonts w:eastAsia="Calibri" w:cstheme="minorHAnsi"/>
        </w:rPr>
      </w:pPr>
      <w:r w:rsidRPr="00CB6A1F">
        <w:rPr>
          <w:rFonts w:eastAsia="Calibri" w:cstheme="minorHAnsi"/>
          <w:noProof/>
        </w:rPr>
        <w:lastRenderedPageBreak/>
        <w:drawing>
          <wp:inline distT="0" distB="0" distL="0" distR="0" wp14:anchorId="110BC009" wp14:editId="0AD2C209">
            <wp:extent cx="5889672" cy="6276975"/>
            <wp:effectExtent l="0" t="0" r="0" b="0"/>
            <wp:docPr id="1679614118" name="Picture 1" descr="A close-up of a microsco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614118" name="Picture 1" descr="A close-up of a microscope&#10;&#10;AI-generated content may be incorrect."/>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23842"/>
                    <a:stretch/>
                  </pic:blipFill>
                  <pic:spPr bwMode="auto">
                    <a:xfrm>
                      <a:off x="0" y="0"/>
                      <a:ext cx="5915500" cy="6304502"/>
                    </a:xfrm>
                    <a:prstGeom prst="rect">
                      <a:avLst/>
                    </a:prstGeom>
                    <a:noFill/>
                    <a:ln>
                      <a:noFill/>
                    </a:ln>
                    <a:extLst>
                      <a:ext uri="{53640926-AAD7-44D8-BBD7-CCE9431645EC}">
                        <a14:shadowObscured xmlns:a14="http://schemas.microsoft.com/office/drawing/2010/main"/>
                      </a:ext>
                    </a:extLst>
                  </pic:spPr>
                </pic:pic>
              </a:graphicData>
            </a:graphic>
          </wp:inline>
        </w:drawing>
      </w:r>
    </w:p>
    <w:p w14:paraId="02299A29" w14:textId="012DA01B" w:rsidR="00F125EF" w:rsidRPr="00CB6A1F" w:rsidRDefault="00F125EF" w:rsidP="00F125EF">
      <w:pPr>
        <w:spacing w:line="276" w:lineRule="auto"/>
        <w:rPr>
          <w:rFonts w:eastAsia="Calibri" w:cstheme="minorHAnsi"/>
          <w:iCs/>
          <w:color w:val="000000"/>
        </w:rPr>
      </w:pPr>
      <w:r w:rsidRPr="00F125EF">
        <w:rPr>
          <w:rFonts w:eastAsia="Calibri" w:cstheme="minorHAnsi"/>
          <w:b/>
          <w:bCs/>
          <w:iCs/>
          <w:color w:val="000000"/>
        </w:rPr>
        <w:t>Figure S10</w:t>
      </w:r>
      <w:r w:rsidRPr="00CB6A1F">
        <w:rPr>
          <w:rFonts w:eastAsia="Calibri" w:cstheme="minorHAnsi"/>
          <w:iCs/>
          <w:color w:val="000000"/>
        </w:rPr>
        <w:t xml:space="preserve"> Random roots collected for visual confirmation of root colonization by AMF inoculants at 8 weeks post-inoculation. (A) Roots inoculated with DAOM 197198, (B) roots inoculated with CC4, and (C) roots inoculated with Cuba8.</w:t>
      </w:r>
    </w:p>
    <w:p w14:paraId="26DB47DF" w14:textId="77777777" w:rsidR="00D23800" w:rsidRDefault="00D23800" w:rsidP="00CB6A1F">
      <w:pPr>
        <w:spacing w:after="0" w:line="240" w:lineRule="auto"/>
        <w:rPr>
          <w:rFonts w:cstheme="minorHAnsi"/>
          <w:b/>
          <w:bCs/>
        </w:rPr>
      </w:pPr>
    </w:p>
    <w:p w14:paraId="35768937" w14:textId="77777777" w:rsidR="00D23800" w:rsidRDefault="00D23800" w:rsidP="00CB6A1F">
      <w:pPr>
        <w:spacing w:after="0" w:line="240" w:lineRule="auto"/>
        <w:rPr>
          <w:rFonts w:cstheme="minorHAnsi"/>
          <w:b/>
          <w:bCs/>
        </w:rPr>
      </w:pPr>
    </w:p>
    <w:p w14:paraId="5439386E" w14:textId="77777777" w:rsidR="00F125EF" w:rsidRDefault="00F125EF" w:rsidP="00CB6A1F">
      <w:pPr>
        <w:spacing w:after="0" w:line="240" w:lineRule="auto"/>
        <w:rPr>
          <w:rFonts w:cstheme="minorHAnsi"/>
          <w:b/>
          <w:bCs/>
        </w:rPr>
      </w:pPr>
    </w:p>
    <w:p w14:paraId="788DCDEF" w14:textId="77777777" w:rsidR="00F125EF" w:rsidRDefault="00F125EF" w:rsidP="00CB6A1F">
      <w:pPr>
        <w:spacing w:after="0" w:line="240" w:lineRule="auto"/>
        <w:rPr>
          <w:rFonts w:cstheme="minorHAnsi"/>
          <w:b/>
          <w:bCs/>
        </w:rPr>
      </w:pPr>
    </w:p>
    <w:p w14:paraId="01E129F0" w14:textId="77777777" w:rsidR="00F125EF" w:rsidRDefault="00F125EF" w:rsidP="00CB6A1F">
      <w:pPr>
        <w:spacing w:after="0" w:line="240" w:lineRule="auto"/>
        <w:rPr>
          <w:rFonts w:cstheme="minorHAnsi"/>
          <w:b/>
          <w:bCs/>
        </w:rPr>
      </w:pPr>
    </w:p>
    <w:p w14:paraId="0D067D4A" w14:textId="31C7FCA1" w:rsidR="00CB6A1F" w:rsidRPr="00CB6A1F" w:rsidRDefault="00CB6A1F" w:rsidP="00CB6A1F">
      <w:pPr>
        <w:spacing w:after="0" w:line="240" w:lineRule="auto"/>
        <w:rPr>
          <w:rFonts w:cstheme="minorHAnsi"/>
        </w:rPr>
      </w:pPr>
      <w:r w:rsidRPr="00CB6A1F">
        <w:rPr>
          <w:rFonts w:cstheme="minorHAnsi"/>
          <w:b/>
          <w:bCs/>
        </w:rPr>
        <w:lastRenderedPageBreak/>
        <w:t>Table S</w:t>
      </w:r>
      <w:r>
        <w:rPr>
          <w:rFonts w:cstheme="minorHAnsi"/>
          <w:b/>
          <w:bCs/>
        </w:rPr>
        <w:t>1</w:t>
      </w:r>
      <w:r w:rsidRPr="00CB6A1F">
        <w:rPr>
          <w:rFonts w:cstheme="minorHAnsi"/>
          <w:b/>
          <w:bCs/>
        </w:rPr>
        <w:t xml:space="preserve">:   </w:t>
      </w:r>
      <w:r w:rsidRPr="00CB6A1F">
        <w:rPr>
          <w:rFonts w:cstheme="minorHAnsi"/>
        </w:rPr>
        <w:t xml:space="preserve">Primer and probe sequences to quantify each  inoculant in ddPCR </w:t>
      </w:r>
      <w:bookmarkEnd w:id="0"/>
      <w:r w:rsidR="001A04EB">
        <w:rPr>
          <w:rFonts w:cstheme="minorHAnsi"/>
        </w:rPr>
        <w:fldChar w:fldCharType="begin"/>
      </w:r>
      <w:r w:rsidR="001A04EB">
        <w:rPr>
          <w:rFonts w:cstheme="minorHAnsi"/>
        </w:rPr>
        <w:instrText xml:space="preserve"> ADDIN ZOTERO_ITEM CSL_CITATION {"citationID":"GwV4Bh6i","properties":{"unsorted":false,"formattedCitation":"(Kokkoris et al. 2021)","plainCitation":"(Kokkoris et al. 2021)","noteIndex":0},"citationItems":[{"id":5846,"uris":["http://zotero.org/users/8644718/items/YSQ6BRQX"],"itemData":{"id":5846,"type":"article-journal","abstract":"The arbuscular mycorrhizal fungi (AMF) are involved in one of the most ecologically important symbioses on the planet, occurring within the roots of most land plants.1 Knowledge of even basic elements of AM fungal biology is still poor, with the discovery that AMF may in fact have a sexual life cycle being only very recently reported.2–5 AMF produce asexual spores that contain up to several thousand individual haploid nuclei6 of either largely uniform genotypes (AMF homokaryons) or nuclei originating from two parental genotypes2–5 (AMF dikaryons or heterokaryons). In contrast to the sexual dikaryons in the phyla Ascomycota and Basidiomycota,7,8 in which pairs of nuclei coexist in single hyphal compartments, AMF dikaryons carry several thousand nuclei in a coenocytic mycelium. Here, we set out to better understand the dynamics of this unique multinucleate condition by combining molecular analyses with advanced microscopy and modeling. Herein, we report that select AMF dikaryotic strains carry the distinct nucleotypes in equal proportions to one another, whereas others show an unequal distribution of parental nucleotypes. In both cases, the relative proportions within a given strain are inherently stable. Simulation models suggest that AMF dikaryons may be maintained through nuclear cooperation dynamics. Remarkably, we report that these nuclear ratios shift dramatically in response to plant host identity, revealing a previously unknown layer of genetic complexity and dynamism within the intimate interactions that occur between the partners of a prominent terrestrial symbiosis.","container-title":"Current Biology","DOI":"10.1016/j.cub.2021.01.035","ISSN":"09609822","issue":"7","journalAbbreviation":"Current Biology","language":"en","page":"1531-1538.e6","source":"DOI.org (Crossref)","title":"Host identity influences nuclear dynamics in arbuscular mycorrhizal fungi","volume":"31","author":[{"family":"Kokkoris","given":"Vasilis"},{"family":"Chagnon","given":"Pierre-Luc"},{"family":"Yildirir","given":"Gökalp"},{"family":"Clarke","given":"Kelsey"},{"family":"Goh","given":"Dane"},{"family":"MacLean","given":"Allyson M."},{"family":"Dettman","given":"Jeremy"},{"family":"Stefani","given":"Franck"},{"family":"Corradi","given":"Nicolas"}],"issued":{"date-parts":[["2021",4]]}}}],"schema":"https://github.com/citation-style-language/schema/raw/master/csl-citation.json"} </w:instrText>
      </w:r>
      <w:r w:rsidR="001A04EB">
        <w:rPr>
          <w:rFonts w:cstheme="minorHAnsi"/>
        </w:rPr>
        <w:fldChar w:fldCharType="separate"/>
      </w:r>
      <w:r w:rsidR="001A04EB">
        <w:rPr>
          <w:rFonts w:cstheme="minorHAnsi"/>
          <w:noProof/>
        </w:rPr>
        <w:t>(Kokkoris et al. 2021)</w:t>
      </w:r>
      <w:r w:rsidR="001A04EB">
        <w:rPr>
          <w:rFonts w:cstheme="minorHAnsi"/>
        </w:rPr>
        <w:fldChar w:fldCharType="end"/>
      </w:r>
    </w:p>
    <w:tbl>
      <w:tblPr>
        <w:tblStyle w:val="PlainTable2"/>
        <w:tblW w:w="5000" w:type="pct"/>
        <w:tblLayout w:type="fixed"/>
        <w:tblLook w:val="04A0" w:firstRow="1" w:lastRow="0" w:firstColumn="1" w:lastColumn="0" w:noHBand="0" w:noVBand="1"/>
      </w:tblPr>
      <w:tblGrid>
        <w:gridCol w:w="1843"/>
        <w:gridCol w:w="1700"/>
        <w:gridCol w:w="2930"/>
        <w:gridCol w:w="2887"/>
      </w:tblGrid>
      <w:tr w:rsidR="00CB6A1F" w:rsidRPr="00CB6A1F" w14:paraId="47CC9251" w14:textId="77777777" w:rsidTr="00944D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 w:type="pct"/>
            <w:tcBorders>
              <w:top w:val="single" w:sz="12" w:space="0" w:color="auto"/>
              <w:bottom w:val="single" w:sz="12" w:space="0" w:color="auto"/>
            </w:tcBorders>
          </w:tcPr>
          <w:p w14:paraId="4D0137EE" w14:textId="77777777" w:rsidR="00CB6A1F" w:rsidRPr="00CB6A1F" w:rsidRDefault="00CB6A1F" w:rsidP="00944D47">
            <w:pPr>
              <w:spacing w:line="276" w:lineRule="auto"/>
              <w:jc w:val="left"/>
              <w:rPr>
                <w:rFonts w:cstheme="minorHAnsi"/>
                <w:sz w:val="24"/>
                <w:szCs w:val="24"/>
              </w:rPr>
            </w:pPr>
            <w:r w:rsidRPr="00CB6A1F">
              <w:rPr>
                <w:rFonts w:cstheme="minorHAnsi"/>
                <w:i/>
                <w:iCs/>
                <w:sz w:val="24"/>
                <w:szCs w:val="24"/>
              </w:rPr>
              <w:t>R. irregularis</w:t>
            </w:r>
            <w:r w:rsidRPr="00CB6A1F">
              <w:rPr>
                <w:rFonts w:cstheme="minorHAnsi"/>
                <w:sz w:val="24"/>
                <w:szCs w:val="24"/>
              </w:rPr>
              <w:t xml:space="preserve"> isolates</w:t>
            </w:r>
          </w:p>
        </w:tc>
        <w:tc>
          <w:tcPr>
            <w:tcW w:w="908" w:type="pct"/>
            <w:tcBorders>
              <w:top w:val="single" w:sz="12" w:space="0" w:color="auto"/>
              <w:bottom w:val="single" w:sz="12" w:space="0" w:color="auto"/>
            </w:tcBorders>
          </w:tcPr>
          <w:p w14:paraId="42CB7A34" w14:textId="77777777" w:rsidR="00CB6A1F" w:rsidRPr="00CB6A1F" w:rsidRDefault="00CB6A1F" w:rsidP="00944D47">
            <w:pPr>
              <w:spacing w:line="276" w:lineRule="auto"/>
              <w:jc w:val="left"/>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CB6A1F">
              <w:rPr>
                <w:rFonts w:cstheme="minorHAnsi"/>
                <w:sz w:val="24"/>
                <w:szCs w:val="24"/>
              </w:rPr>
              <w:t>Target region</w:t>
            </w:r>
          </w:p>
        </w:tc>
        <w:tc>
          <w:tcPr>
            <w:tcW w:w="1565" w:type="pct"/>
            <w:tcBorders>
              <w:top w:val="single" w:sz="12" w:space="0" w:color="auto"/>
              <w:bottom w:val="single" w:sz="12" w:space="0" w:color="auto"/>
            </w:tcBorders>
          </w:tcPr>
          <w:p w14:paraId="131C0771" w14:textId="77777777" w:rsidR="00CB6A1F" w:rsidRPr="00CB6A1F" w:rsidRDefault="00CB6A1F" w:rsidP="00944D47">
            <w:pPr>
              <w:spacing w:line="276" w:lineRule="auto"/>
              <w:jc w:val="left"/>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CB6A1F">
              <w:rPr>
                <w:rFonts w:cstheme="minorHAnsi"/>
                <w:sz w:val="24"/>
                <w:szCs w:val="24"/>
              </w:rPr>
              <w:t>Primer sequence</w:t>
            </w:r>
          </w:p>
        </w:tc>
        <w:tc>
          <w:tcPr>
            <w:tcW w:w="1542" w:type="pct"/>
            <w:tcBorders>
              <w:top w:val="single" w:sz="12" w:space="0" w:color="auto"/>
              <w:bottom w:val="single" w:sz="12" w:space="0" w:color="auto"/>
            </w:tcBorders>
          </w:tcPr>
          <w:p w14:paraId="355638C4" w14:textId="77777777" w:rsidR="00CB6A1F" w:rsidRPr="00CB6A1F" w:rsidRDefault="00CB6A1F" w:rsidP="00944D47">
            <w:pPr>
              <w:spacing w:line="276" w:lineRule="auto"/>
              <w:jc w:val="left"/>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CB6A1F">
              <w:rPr>
                <w:rFonts w:cstheme="minorHAnsi"/>
                <w:sz w:val="24"/>
                <w:szCs w:val="24"/>
              </w:rPr>
              <w:t>Probe</w:t>
            </w:r>
          </w:p>
        </w:tc>
      </w:tr>
      <w:tr w:rsidR="00CB6A1F" w:rsidRPr="00CB6A1F" w14:paraId="1E044ED7" w14:textId="77777777" w:rsidTr="00944D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 w:type="pct"/>
            <w:tcBorders>
              <w:top w:val="single" w:sz="12" w:space="0" w:color="auto"/>
            </w:tcBorders>
          </w:tcPr>
          <w:p w14:paraId="0E160279" w14:textId="77777777" w:rsidR="00CB6A1F" w:rsidRPr="00CB6A1F" w:rsidRDefault="00CB6A1F" w:rsidP="00944D47">
            <w:pPr>
              <w:spacing w:line="276" w:lineRule="auto"/>
              <w:jc w:val="left"/>
              <w:rPr>
                <w:rFonts w:cstheme="minorHAnsi"/>
                <w:b w:val="0"/>
                <w:bCs w:val="0"/>
                <w:sz w:val="24"/>
                <w:szCs w:val="24"/>
              </w:rPr>
            </w:pPr>
            <w:r w:rsidRPr="00CB6A1F">
              <w:rPr>
                <w:rFonts w:cstheme="minorHAnsi"/>
                <w:b w:val="0"/>
                <w:bCs w:val="0"/>
                <w:sz w:val="24"/>
                <w:szCs w:val="24"/>
              </w:rPr>
              <w:t>DAOM 197198</w:t>
            </w:r>
          </w:p>
        </w:tc>
        <w:tc>
          <w:tcPr>
            <w:tcW w:w="908" w:type="pct"/>
            <w:tcBorders>
              <w:top w:val="single" w:sz="12" w:space="0" w:color="auto"/>
            </w:tcBorders>
          </w:tcPr>
          <w:p w14:paraId="7D6995A6" w14:textId="77777777" w:rsidR="00CB6A1F" w:rsidRPr="00CB6A1F" w:rsidRDefault="00CB6A1F" w:rsidP="00944D47">
            <w:pPr>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CB6A1F">
              <w:rPr>
                <w:rFonts w:cstheme="minorHAnsi"/>
                <w:sz w:val="24"/>
                <w:szCs w:val="24"/>
              </w:rPr>
              <w:t>cox3-rnl intergenic mtDNA</w:t>
            </w:r>
          </w:p>
        </w:tc>
        <w:tc>
          <w:tcPr>
            <w:tcW w:w="1565" w:type="pct"/>
            <w:tcBorders>
              <w:top w:val="single" w:sz="12" w:space="0" w:color="auto"/>
            </w:tcBorders>
          </w:tcPr>
          <w:p w14:paraId="569EFC43" w14:textId="77777777" w:rsidR="00CB6A1F" w:rsidRPr="00CB6A1F" w:rsidRDefault="00CB6A1F" w:rsidP="00944D47">
            <w:pPr>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CB6A1F">
              <w:rPr>
                <w:rFonts w:cstheme="minorHAnsi"/>
                <w:sz w:val="24"/>
                <w:szCs w:val="24"/>
              </w:rPr>
              <w:t xml:space="preserve">Forward 5’-AGCAAATCTAAGTTCCTCAGAG-3’ </w:t>
            </w:r>
          </w:p>
          <w:p w14:paraId="2C407307" w14:textId="77777777" w:rsidR="00CB6A1F" w:rsidRPr="00CB6A1F" w:rsidRDefault="00CB6A1F" w:rsidP="00944D47">
            <w:pPr>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CB6A1F">
              <w:rPr>
                <w:rFonts w:cstheme="minorHAnsi"/>
                <w:sz w:val="24"/>
                <w:szCs w:val="24"/>
              </w:rPr>
              <w:t>Reverse 5’-ACTTCTATGGCTTTGTACAGG -3’</w:t>
            </w:r>
          </w:p>
        </w:tc>
        <w:tc>
          <w:tcPr>
            <w:tcW w:w="1542" w:type="pct"/>
            <w:tcBorders>
              <w:top w:val="single" w:sz="12" w:space="0" w:color="auto"/>
            </w:tcBorders>
          </w:tcPr>
          <w:p w14:paraId="3F89A178" w14:textId="77777777" w:rsidR="00CB6A1F" w:rsidRPr="00CB6A1F" w:rsidRDefault="00CB6A1F" w:rsidP="00944D47">
            <w:pPr>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CB6A1F">
              <w:rPr>
                <w:rFonts w:cstheme="minorHAnsi"/>
                <w:sz w:val="24"/>
                <w:szCs w:val="24"/>
              </w:rPr>
              <w:t>5’-FAM/CCCACCAGG/ZEN/GCAGATTAATCTTCCTT/3IABKFQ-3’</w:t>
            </w:r>
          </w:p>
        </w:tc>
      </w:tr>
      <w:tr w:rsidR="00CB6A1F" w:rsidRPr="00CB6A1F" w14:paraId="51003DAC" w14:textId="77777777" w:rsidTr="00944D47">
        <w:tc>
          <w:tcPr>
            <w:cnfStyle w:val="001000000000" w:firstRow="0" w:lastRow="0" w:firstColumn="1" w:lastColumn="0" w:oddVBand="0" w:evenVBand="0" w:oddHBand="0" w:evenHBand="0" w:firstRowFirstColumn="0" w:firstRowLastColumn="0" w:lastRowFirstColumn="0" w:lastRowLastColumn="0"/>
            <w:tcW w:w="985" w:type="pct"/>
          </w:tcPr>
          <w:p w14:paraId="26514435" w14:textId="77777777" w:rsidR="00CB6A1F" w:rsidRPr="00CB6A1F" w:rsidRDefault="00CB6A1F" w:rsidP="00944D47">
            <w:pPr>
              <w:spacing w:line="276" w:lineRule="auto"/>
              <w:jc w:val="left"/>
              <w:rPr>
                <w:rFonts w:cstheme="minorHAnsi"/>
                <w:b w:val="0"/>
                <w:bCs w:val="0"/>
                <w:sz w:val="24"/>
                <w:szCs w:val="24"/>
              </w:rPr>
            </w:pPr>
            <w:r w:rsidRPr="00CB6A1F">
              <w:rPr>
                <w:rFonts w:cstheme="minorHAnsi"/>
                <w:b w:val="0"/>
                <w:bCs w:val="0"/>
                <w:sz w:val="24"/>
                <w:szCs w:val="24"/>
              </w:rPr>
              <w:t>CC4</w:t>
            </w:r>
          </w:p>
        </w:tc>
        <w:tc>
          <w:tcPr>
            <w:tcW w:w="908" w:type="pct"/>
          </w:tcPr>
          <w:p w14:paraId="16B25E47" w14:textId="77777777" w:rsidR="00CB6A1F" w:rsidRPr="00CB6A1F" w:rsidRDefault="00CB6A1F" w:rsidP="00944D47">
            <w:pPr>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CB6A1F">
              <w:rPr>
                <w:rFonts w:cstheme="minorHAnsi"/>
                <w:sz w:val="24"/>
                <w:szCs w:val="24"/>
              </w:rPr>
              <w:t>Mating Loci 6 (HD2-like gene) nrDNA</w:t>
            </w:r>
          </w:p>
        </w:tc>
        <w:tc>
          <w:tcPr>
            <w:tcW w:w="1565" w:type="pct"/>
          </w:tcPr>
          <w:p w14:paraId="53D78609" w14:textId="77777777" w:rsidR="00CB6A1F" w:rsidRPr="00CB6A1F" w:rsidRDefault="00CB6A1F" w:rsidP="00944D47">
            <w:pPr>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CB6A1F">
              <w:rPr>
                <w:rFonts w:cstheme="minorHAnsi"/>
                <w:sz w:val="24"/>
                <w:szCs w:val="24"/>
              </w:rPr>
              <w:t>Forward 5’- GCCGGAGCATATAATGGT-3’</w:t>
            </w:r>
          </w:p>
          <w:p w14:paraId="0E3DE29C" w14:textId="77777777" w:rsidR="00CB6A1F" w:rsidRPr="00CB6A1F" w:rsidRDefault="00CB6A1F" w:rsidP="00944D47">
            <w:pPr>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CB6A1F">
              <w:rPr>
                <w:rFonts w:cstheme="minorHAnsi"/>
                <w:sz w:val="24"/>
                <w:szCs w:val="24"/>
              </w:rPr>
              <w:t>Reverse 5’- GGCACAAAAATAGTTACACTG-3’</w:t>
            </w:r>
          </w:p>
        </w:tc>
        <w:tc>
          <w:tcPr>
            <w:tcW w:w="1542" w:type="pct"/>
          </w:tcPr>
          <w:p w14:paraId="772B3E41" w14:textId="77777777" w:rsidR="00CB6A1F" w:rsidRPr="00CB6A1F" w:rsidRDefault="00CB6A1F" w:rsidP="00944D47">
            <w:pPr>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CB6A1F">
              <w:rPr>
                <w:rFonts w:cstheme="minorHAnsi"/>
                <w:sz w:val="24"/>
                <w:szCs w:val="24"/>
              </w:rPr>
              <w:t>5’- HEX/ CGACGCCCTCAATGTATGTTCACTTTC-3’</w:t>
            </w:r>
          </w:p>
        </w:tc>
      </w:tr>
      <w:tr w:rsidR="00CB6A1F" w:rsidRPr="00CB6A1F" w14:paraId="5D8F97C9" w14:textId="77777777" w:rsidTr="00944D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 w:type="pct"/>
            <w:tcBorders>
              <w:bottom w:val="single" w:sz="12" w:space="0" w:color="auto"/>
            </w:tcBorders>
          </w:tcPr>
          <w:p w14:paraId="114AC548" w14:textId="77777777" w:rsidR="00CB6A1F" w:rsidRPr="00CB6A1F" w:rsidRDefault="00CB6A1F" w:rsidP="00944D47">
            <w:pPr>
              <w:spacing w:line="276" w:lineRule="auto"/>
              <w:jc w:val="left"/>
              <w:rPr>
                <w:rFonts w:cstheme="minorHAnsi"/>
                <w:b w:val="0"/>
                <w:bCs w:val="0"/>
                <w:sz w:val="24"/>
                <w:szCs w:val="24"/>
              </w:rPr>
            </w:pPr>
            <w:r w:rsidRPr="00CB6A1F">
              <w:rPr>
                <w:rFonts w:cstheme="minorHAnsi"/>
                <w:b w:val="0"/>
                <w:bCs w:val="0"/>
                <w:sz w:val="24"/>
                <w:szCs w:val="24"/>
              </w:rPr>
              <w:t>Cuba8</w:t>
            </w:r>
          </w:p>
        </w:tc>
        <w:tc>
          <w:tcPr>
            <w:tcW w:w="908" w:type="pct"/>
            <w:tcBorders>
              <w:bottom w:val="single" w:sz="12" w:space="0" w:color="auto"/>
            </w:tcBorders>
          </w:tcPr>
          <w:p w14:paraId="7C7F0DCE" w14:textId="77777777" w:rsidR="00CB6A1F" w:rsidRPr="00CB6A1F" w:rsidRDefault="00CB6A1F" w:rsidP="00944D47">
            <w:pPr>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CB6A1F">
              <w:rPr>
                <w:rFonts w:cstheme="minorHAnsi"/>
                <w:sz w:val="24"/>
                <w:szCs w:val="24"/>
              </w:rPr>
              <w:t>Mating Loci 1 (HD1-like gene) nrDNA</w:t>
            </w:r>
          </w:p>
        </w:tc>
        <w:tc>
          <w:tcPr>
            <w:tcW w:w="1565" w:type="pct"/>
            <w:tcBorders>
              <w:bottom w:val="single" w:sz="12" w:space="0" w:color="auto"/>
            </w:tcBorders>
          </w:tcPr>
          <w:p w14:paraId="31418FF2" w14:textId="77777777" w:rsidR="00CB6A1F" w:rsidRPr="00CB6A1F" w:rsidRDefault="00CB6A1F" w:rsidP="00944D47">
            <w:pPr>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CB6A1F">
              <w:rPr>
                <w:rFonts w:cstheme="minorHAnsi"/>
                <w:sz w:val="24"/>
                <w:szCs w:val="24"/>
              </w:rPr>
              <w:t>Forward 5’-CCAATACTCATGATATCG-3’</w:t>
            </w:r>
          </w:p>
          <w:p w14:paraId="3B3C1759" w14:textId="77777777" w:rsidR="00CB6A1F" w:rsidRPr="00CB6A1F" w:rsidRDefault="00CB6A1F" w:rsidP="00944D47">
            <w:pPr>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CB6A1F">
              <w:rPr>
                <w:rFonts w:cstheme="minorHAnsi"/>
                <w:sz w:val="24"/>
                <w:szCs w:val="24"/>
              </w:rPr>
              <w:t>Reverse 5’-GCACCAAAAAATAGTACACTGG-3’</w:t>
            </w:r>
          </w:p>
        </w:tc>
        <w:tc>
          <w:tcPr>
            <w:tcW w:w="1542" w:type="pct"/>
            <w:tcBorders>
              <w:bottom w:val="single" w:sz="12" w:space="0" w:color="auto"/>
            </w:tcBorders>
          </w:tcPr>
          <w:p w14:paraId="0B588268" w14:textId="77777777" w:rsidR="00CB6A1F" w:rsidRPr="00CB6A1F" w:rsidRDefault="00CB6A1F" w:rsidP="00944D47">
            <w:pPr>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CB6A1F">
              <w:rPr>
                <w:rFonts w:cstheme="minorHAnsi"/>
                <w:sz w:val="24"/>
                <w:szCs w:val="24"/>
              </w:rPr>
              <w:t>5’- FAM/GACGCCCTCAATGTATGGTTCACTT-3’</w:t>
            </w:r>
          </w:p>
        </w:tc>
      </w:tr>
    </w:tbl>
    <w:p w14:paraId="68BEE936" w14:textId="77777777" w:rsidR="00CB6A1F" w:rsidRPr="00CB6A1F" w:rsidRDefault="00CB6A1F" w:rsidP="00CB6A1F">
      <w:pPr>
        <w:spacing w:after="0" w:line="240" w:lineRule="auto"/>
        <w:rPr>
          <w:rFonts w:cstheme="minorHAnsi"/>
          <w:b/>
          <w:bCs/>
        </w:rPr>
      </w:pPr>
    </w:p>
    <w:p w14:paraId="7F05ABBB" w14:textId="3B05C086" w:rsidR="00CB6A1F" w:rsidRPr="00CB6A1F" w:rsidRDefault="00CB6A1F" w:rsidP="00CB6A1F">
      <w:pPr>
        <w:spacing w:line="276" w:lineRule="auto"/>
        <w:rPr>
          <w:rFonts w:eastAsia="Calibri" w:cstheme="minorHAnsi"/>
          <w:b/>
          <w:bCs/>
          <w:iCs/>
          <w:color w:val="000000"/>
        </w:rPr>
      </w:pPr>
      <w:r w:rsidRPr="00CB6A1F">
        <w:rPr>
          <w:rFonts w:eastAsia="Calibri" w:cstheme="minorHAnsi"/>
          <w:b/>
          <w:bCs/>
          <w:iCs/>
          <w:color w:val="000000"/>
        </w:rPr>
        <w:t>Table S2</w:t>
      </w:r>
      <w:r w:rsidRPr="00CB6A1F">
        <w:rPr>
          <w:rFonts w:eastAsia="Calibri" w:cstheme="minorHAnsi"/>
          <w:iCs/>
          <w:color w:val="000000"/>
        </w:rPr>
        <w:t xml:space="preserve"> </w:t>
      </w:r>
      <w:r>
        <w:rPr>
          <w:rFonts w:eastAsia="Calibri" w:cstheme="minorHAnsi"/>
          <w:iCs/>
          <w:color w:val="000000"/>
        </w:rPr>
        <w:t xml:space="preserve"> </w:t>
      </w:r>
      <w:r w:rsidRPr="00CB6A1F">
        <w:rPr>
          <w:rFonts w:eastAsia="Calibri" w:cstheme="minorHAnsi"/>
          <w:iCs/>
          <w:color w:val="000000"/>
        </w:rPr>
        <w:t>PCR conditions for each primer-probe mix.</w:t>
      </w:r>
    </w:p>
    <w:tbl>
      <w:tblPr>
        <w:tblStyle w:val="PlainTable21"/>
        <w:tblW w:w="5000" w:type="pct"/>
        <w:tblLook w:val="04A0" w:firstRow="1" w:lastRow="0" w:firstColumn="1" w:lastColumn="0" w:noHBand="0" w:noVBand="1"/>
      </w:tblPr>
      <w:tblGrid>
        <w:gridCol w:w="2526"/>
        <w:gridCol w:w="3564"/>
        <w:gridCol w:w="3270"/>
      </w:tblGrid>
      <w:tr w:rsidR="00CB6A1F" w:rsidRPr="00CB6A1F" w14:paraId="6EFC2402" w14:textId="77777777" w:rsidTr="00944D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9" w:type="pct"/>
            <w:tcBorders>
              <w:top w:val="single" w:sz="12" w:space="0" w:color="auto"/>
              <w:bottom w:val="single" w:sz="12" w:space="0" w:color="auto"/>
            </w:tcBorders>
          </w:tcPr>
          <w:p w14:paraId="179A3373" w14:textId="77777777" w:rsidR="00CB6A1F" w:rsidRPr="00CB6A1F" w:rsidRDefault="00CB6A1F" w:rsidP="00944D47">
            <w:pPr>
              <w:autoSpaceDE w:val="0"/>
              <w:autoSpaceDN w:val="0"/>
              <w:adjustRightInd w:val="0"/>
              <w:spacing w:line="480" w:lineRule="auto"/>
              <w:rPr>
                <w:rFonts w:eastAsia="Calibri" w:cstheme="minorHAnsi"/>
                <w:sz w:val="24"/>
                <w:szCs w:val="24"/>
              </w:rPr>
            </w:pPr>
            <w:r w:rsidRPr="00CB6A1F">
              <w:rPr>
                <w:rFonts w:eastAsia="Calibri" w:cstheme="minorHAnsi"/>
                <w:sz w:val="24"/>
                <w:szCs w:val="24"/>
              </w:rPr>
              <w:t>Steps</w:t>
            </w:r>
          </w:p>
        </w:tc>
        <w:tc>
          <w:tcPr>
            <w:tcW w:w="1904" w:type="pct"/>
            <w:tcBorders>
              <w:top w:val="single" w:sz="12" w:space="0" w:color="auto"/>
              <w:bottom w:val="single" w:sz="12" w:space="0" w:color="auto"/>
            </w:tcBorders>
          </w:tcPr>
          <w:p w14:paraId="11B488B0" w14:textId="77777777" w:rsidR="00CB6A1F" w:rsidRPr="00CB6A1F" w:rsidRDefault="00CB6A1F" w:rsidP="00944D47">
            <w:pPr>
              <w:autoSpaceDE w:val="0"/>
              <w:autoSpaceDN w:val="0"/>
              <w:adjustRightInd w:val="0"/>
              <w:spacing w:line="480" w:lineRule="auto"/>
              <w:cnfStyle w:val="100000000000" w:firstRow="1" w:lastRow="0" w:firstColumn="0" w:lastColumn="0" w:oddVBand="0" w:evenVBand="0" w:oddHBand="0" w:evenHBand="0" w:firstRowFirstColumn="0" w:firstRowLastColumn="0" w:lastRowFirstColumn="0" w:lastRowLastColumn="0"/>
              <w:rPr>
                <w:rFonts w:eastAsia="Calibri" w:cstheme="minorHAnsi"/>
                <w:sz w:val="24"/>
                <w:szCs w:val="24"/>
              </w:rPr>
            </w:pPr>
            <w:r w:rsidRPr="00CB6A1F">
              <w:rPr>
                <w:rFonts w:eastAsia="Calibri" w:cstheme="minorHAnsi"/>
                <w:sz w:val="24"/>
                <w:szCs w:val="24"/>
              </w:rPr>
              <w:t>DAOM 197198 primer-probe</w:t>
            </w:r>
          </w:p>
        </w:tc>
        <w:tc>
          <w:tcPr>
            <w:tcW w:w="1747" w:type="pct"/>
            <w:tcBorders>
              <w:top w:val="single" w:sz="12" w:space="0" w:color="auto"/>
              <w:bottom w:val="single" w:sz="12" w:space="0" w:color="auto"/>
            </w:tcBorders>
          </w:tcPr>
          <w:p w14:paraId="55EC8D78" w14:textId="77777777" w:rsidR="00CB6A1F" w:rsidRPr="00CB6A1F" w:rsidRDefault="00CB6A1F" w:rsidP="00944D47">
            <w:pPr>
              <w:autoSpaceDE w:val="0"/>
              <w:autoSpaceDN w:val="0"/>
              <w:adjustRightInd w:val="0"/>
              <w:spacing w:line="480" w:lineRule="auto"/>
              <w:cnfStyle w:val="100000000000" w:firstRow="1" w:lastRow="0" w:firstColumn="0" w:lastColumn="0" w:oddVBand="0" w:evenVBand="0" w:oddHBand="0" w:evenHBand="0" w:firstRowFirstColumn="0" w:firstRowLastColumn="0" w:lastRowFirstColumn="0" w:lastRowLastColumn="0"/>
              <w:rPr>
                <w:rFonts w:eastAsia="Calibri" w:cstheme="minorHAnsi"/>
                <w:sz w:val="24"/>
                <w:szCs w:val="24"/>
              </w:rPr>
            </w:pPr>
            <w:r w:rsidRPr="00CB6A1F">
              <w:rPr>
                <w:rFonts w:eastAsia="Calibri" w:cstheme="minorHAnsi"/>
                <w:sz w:val="24"/>
                <w:szCs w:val="24"/>
              </w:rPr>
              <w:t>CC4/Cuba8 primer-probe</w:t>
            </w:r>
          </w:p>
        </w:tc>
      </w:tr>
      <w:tr w:rsidR="00CB6A1F" w:rsidRPr="00CB6A1F" w14:paraId="083D0A98" w14:textId="77777777" w:rsidTr="00944D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9" w:type="pct"/>
            <w:tcBorders>
              <w:top w:val="single" w:sz="12" w:space="0" w:color="auto"/>
            </w:tcBorders>
          </w:tcPr>
          <w:p w14:paraId="59FE64C0" w14:textId="77777777" w:rsidR="00CB6A1F" w:rsidRPr="00CB6A1F" w:rsidRDefault="00CB6A1F" w:rsidP="00944D47">
            <w:pPr>
              <w:autoSpaceDE w:val="0"/>
              <w:autoSpaceDN w:val="0"/>
              <w:adjustRightInd w:val="0"/>
              <w:spacing w:line="480" w:lineRule="auto"/>
              <w:rPr>
                <w:rFonts w:eastAsia="Calibri" w:cstheme="minorHAnsi"/>
                <w:sz w:val="24"/>
                <w:szCs w:val="24"/>
              </w:rPr>
            </w:pPr>
            <w:r w:rsidRPr="00CB6A1F">
              <w:rPr>
                <w:rFonts w:eastAsia="Calibri" w:cstheme="minorHAnsi"/>
                <w:sz w:val="24"/>
                <w:szCs w:val="24"/>
              </w:rPr>
              <w:t>Initial denaturation</w:t>
            </w:r>
          </w:p>
        </w:tc>
        <w:tc>
          <w:tcPr>
            <w:tcW w:w="1904" w:type="pct"/>
            <w:tcBorders>
              <w:top w:val="single" w:sz="12" w:space="0" w:color="auto"/>
            </w:tcBorders>
          </w:tcPr>
          <w:p w14:paraId="0F6BF58A" w14:textId="77777777" w:rsidR="00CB6A1F" w:rsidRPr="00CB6A1F" w:rsidRDefault="00CB6A1F" w:rsidP="00944D47">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rPr>
            </w:pPr>
            <w:r w:rsidRPr="00CB6A1F">
              <w:rPr>
                <w:rFonts w:eastAsia="Calibri" w:cstheme="minorHAnsi"/>
                <w:sz w:val="24"/>
                <w:szCs w:val="24"/>
              </w:rPr>
              <w:t>95°C for 10 min.</w:t>
            </w:r>
          </w:p>
        </w:tc>
        <w:tc>
          <w:tcPr>
            <w:tcW w:w="1747" w:type="pct"/>
            <w:tcBorders>
              <w:top w:val="single" w:sz="12" w:space="0" w:color="auto"/>
            </w:tcBorders>
          </w:tcPr>
          <w:p w14:paraId="3BB7762A" w14:textId="77777777" w:rsidR="00CB6A1F" w:rsidRPr="00CB6A1F" w:rsidRDefault="00CB6A1F" w:rsidP="00944D47">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rPr>
            </w:pPr>
            <w:r w:rsidRPr="00CB6A1F">
              <w:rPr>
                <w:rFonts w:eastAsia="Calibri" w:cstheme="minorHAnsi"/>
                <w:sz w:val="24"/>
                <w:szCs w:val="24"/>
              </w:rPr>
              <w:t>95°C for 10 min.</w:t>
            </w:r>
          </w:p>
        </w:tc>
      </w:tr>
      <w:tr w:rsidR="00CB6A1F" w:rsidRPr="00CB6A1F" w14:paraId="44D70602" w14:textId="77777777" w:rsidTr="00944D47">
        <w:tc>
          <w:tcPr>
            <w:cnfStyle w:val="001000000000" w:firstRow="0" w:lastRow="0" w:firstColumn="1" w:lastColumn="0" w:oddVBand="0" w:evenVBand="0" w:oddHBand="0" w:evenHBand="0" w:firstRowFirstColumn="0" w:firstRowLastColumn="0" w:lastRowFirstColumn="0" w:lastRowLastColumn="0"/>
            <w:tcW w:w="1349" w:type="pct"/>
          </w:tcPr>
          <w:p w14:paraId="28CC1AD3" w14:textId="77777777" w:rsidR="00CB6A1F" w:rsidRPr="00CB6A1F" w:rsidRDefault="00CB6A1F" w:rsidP="00944D47">
            <w:pPr>
              <w:autoSpaceDE w:val="0"/>
              <w:autoSpaceDN w:val="0"/>
              <w:adjustRightInd w:val="0"/>
              <w:spacing w:line="480" w:lineRule="auto"/>
              <w:rPr>
                <w:rFonts w:eastAsia="Calibri" w:cstheme="minorHAnsi"/>
                <w:sz w:val="24"/>
                <w:szCs w:val="24"/>
              </w:rPr>
            </w:pPr>
            <w:r w:rsidRPr="00CB6A1F">
              <w:rPr>
                <w:rFonts w:eastAsia="Calibri" w:cstheme="minorHAnsi"/>
                <w:sz w:val="24"/>
                <w:szCs w:val="24"/>
              </w:rPr>
              <w:t>Denaturation</w:t>
            </w:r>
          </w:p>
        </w:tc>
        <w:tc>
          <w:tcPr>
            <w:tcW w:w="1904" w:type="pct"/>
          </w:tcPr>
          <w:p w14:paraId="392DCD92" w14:textId="77777777" w:rsidR="00CB6A1F" w:rsidRPr="00CB6A1F" w:rsidRDefault="00CB6A1F" w:rsidP="00944D47">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CB6A1F">
              <w:rPr>
                <w:rFonts w:eastAsia="Calibri" w:cstheme="minorHAnsi"/>
                <w:sz w:val="24"/>
                <w:szCs w:val="24"/>
              </w:rPr>
              <w:t>94°C for 30 s</w:t>
            </w:r>
          </w:p>
        </w:tc>
        <w:tc>
          <w:tcPr>
            <w:tcW w:w="1747" w:type="pct"/>
          </w:tcPr>
          <w:p w14:paraId="2D34275E" w14:textId="77777777" w:rsidR="00CB6A1F" w:rsidRPr="00CB6A1F" w:rsidRDefault="00CB6A1F" w:rsidP="00944D47">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CB6A1F">
              <w:rPr>
                <w:rFonts w:eastAsia="Calibri" w:cstheme="minorHAnsi"/>
                <w:sz w:val="24"/>
                <w:szCs w:val="24"/>
              </w:rPr>
              <w:t>94°C for 1 min.</w:t>
            </w:r>
          </w:p>
        </w:tc>
      </w:tr>
      <w:tr w:rsidR="00CB6A1F" w:rsidRPr="00CB6A1F" w14:paraId="360192EE" w14:textId="77777777" w:rsidTr="00944D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9" w:type="pct"/>
          </w:tcPr>
          <w:p w14:paraId="080E51CC" w14:textId="77777777" w:rsidR="00CB6A1F" w:rsidRPr="00CB6A1F" w:rsidRDefault="00CB6A1F" w:rsidP="00944D47">
            <w:pPr>
              <w:autoSpaceDE w:val="0"/>
              <w:autoSpaceDN w:val="0"/>
              <w:adjustRightInd w:val="0"/>
              <w:spacing w:line="480" w:lineRule="auto"/>
              <w:rPr>
                <w:rFonts w:eastAsia="Calibri" w:cstheme="minorHAnsi"/>
                <w:sz w:val="24"/>
                <w:szCs w:val="24"/>
              </w:rPr>
            </w:pPr>
            <w:r w:rsidRPr="00CB6A1F">
              <w:rPr>
                <w:rFonts w:eastAsia="Calibri" w:cstheme="minorHAnsi"/>
                <w:sz w:val="24"/>
                <w:szCs w:val="24"/>
              </w:rPr>
              <w:t>Annealing</w:t>
            </w:r>
          </w:p>
        </w:tc>
        <w:tc>
          <w:tcPr>
            <w:tcW w:w="1904" w:type="pct"/>
          </w:tcPr>
          <w:p w14:paraId="2864B522" w14:textId="77777777" w:rsidR="00CB6A1F" w:rsidRPr="00CB6A1F" w:rsidRDefault="00CB6A1F" w:rsidP="00944D47">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rPr>
            </w:pPr>
            <w:r w:rsidRPr="00CB6A1F">
              <w:rPr>
                <w:rFonts w:eastAsia="Calibri" w:cstheme="minorHAnsi"/>
                <w:sz w:val="24"/>
                <w:szCs w:val="24"/>
              </w:rPr>
              <w:t>59°C for 30 s</w:t>
            </w:r>
          </w:p>
        </w:tc>
        <w:tc>
          <w:tcPr>
            <w:tcW w:w="1747" w:type="pct"/>
          </w:tcPr>
          <w:p w14:paraId="3A85B1C5" w14:textId="77777777" w:rsidR="00CB6A1F" w:rsidRPr="00CB6A1F" w:rsidRDefault="00CB6A1F" w:rsidP="00944D47">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rPr>
            </w:pPr>
            <w:r w:rsidRPr="00CB6A1F">
              <w:rPr>
                <w:rFonts w:eastAsia="Calibri" w:cstheme="minorHAnsi"/>
                <w:sz w:val="24"/>
                <w:szCs w:val="24"/>
              </w:rPr>
              <w:t>52.5°C for 2 min.</w:t>
            </w:r>
          </w:p>
        </w:tc>
      </w:tr>
      <w:tr w:rsidR="00CB6A1F" w:rsidRPr="00CB6A1F" w14:paraId="1774BE05" w14:textId="77777777" w:rsidTr="00944D47">
        <w:tc>
          <w:tcPr>
            <w:cnfStyle w:val="001000000000" w:firstRow="0" w:lastRow="0" w:firstColumn="1" w:lastColumn="0" w:oddVBand="0" w:evenVBand="0" w:oddHBand="0" w:evenHBand="0" w:firstRowFirstColumn="0" w:firstRowLastColumn="0" w:lastRowFirstColumn="0" w:lastRowLastColumn="0"/>
            <w:tcW w:w="1349" w:type="pct"/>
          </w:tcPr>
          <w:p w14:paraId="756E8F6C" w14:textId="77777777" w:rsidR="00CB6A1F" w:rsidRPr="00CB6A1F" w:rsidRDefault="00CB6A1F" w:rsidP="00944D47">
            <w:pPr>
              <w:autoSpaceDE w:val="0"/>
              <w:autoSpaceDN w:val="0"/>
              <w:adjustRightInd w:val="0"/>
              <w:spacing w:line="480" w:lineRule="auto"/>
              <w:rPr>
                <w:rFonts w:eastAsia="Calibri" w:cstheme="minorHAnsi"/>
                <w:sz w:val="24"/>
                <w:szCs w:val="24"/>
              </w:rPr>
            </w:pPr>
            <w:r w:rsidRPr="00CB6A1F">
              <w:rPr>
                <w:rFonts w:eastAsia="Calibri" w:cstheme="minorHAnsi"/>
                <w:sz w:val="24"/>
                <w:szCs w:val="24"/>
              </w:rPr>
              <w:t>Cycles</w:t>
            </w:r>
          </w:p>
        </w:tc>
        <w:tc>
          <w:tcPr>
            <w:tcW w:w="1904" w:type="pct"/>
          </w:tcPr>
          <w:p w14:paraId="2D810FB5" w14:textId="77777777" w:rsidR="00CB6A1F" w:rsidRPr="00CB6A1F" w:rsidRDefault="00CB6A1F" w:rsidP="00944D47">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CB6A1F">
              <w:rPr>
                <w:rFonts w:eastAsia="Calibri" w:cstheme="minorHAnsi"/>
                <w:sz w:val="24"/>
                <w:szCs w:val="24"/>
              </w:rPr>
              <w:t>40 x</w:t>
            </w:r>
          </w:p>
        </w:tc>
        <w:tc>
          <w:tcPr>
            <w:tcW w:w="1747" w:type="pct"/>
          </w:tcPr>
          <w:p w14:paraId="4B4454C4" w14:textId="77777777" w:rsidR="00CB6A1F" w:rsidRPr="00CB6A1F" w:rsidRDefault="00CB6A1F" w:rsidP="00944D47">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CB6A1F">
              <w:rPr>
                <w:rFonts w:eastAsia="Calibri" w:cstheme="minorHAnsi"/>
                <w:sz w:val="24"/>
                <w:szCs w:val="24"/>
              </w:rPr>
              <w:t>45 x</w:t>
            </w:r>
          </w:p>
        </w:tc>
      </w:tr>
      <w:tr w:rsidR="00CB6A1F" w:rsidRPr="00CB6A1F" w14:paraId="43BD017A" w14:textId="77777777" w:rsidTr="00944D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9" w:type="pct"/>
          </w:tcPr>
          <w:p w14:paraId="74AA7EFC" w14:textId="77777777" w:rsidR="00CB6A1F" w:rsidRPr="00CB6A1F" w:rsidRDefault="00CB6A1F" w:rsidP="00944D47">
            <w:pPr>
              <w:autoSpaceDE w:val="0"/>
              <w:autoSpaceDN w:val="0"/>
              <w:adjustRightInd w:val="0"/>
              <w:spacing w:line="480" w:lineRule="auto"/>
              <w:rPr>
                <w:rFonts w:eastAsia="Calibri" w:cstheme="minorHAnsi"/>
                <w:sz w:val="24"/>
                <w:szCs w:val="24"/>
              </w:rPr>
            </w:pPr>
            <w:r w:rsidRPr="00CB6A1F">
              <w:rPr>
                <w:rFonts w:eastAsia="Calibri" w:cstheme="minorHAnsi"/>
                <w:sz w:val="24"/>
                <w:szCs w:val="24"/>
              </w:rPr>
              <w:t>Ramp rate</w:t>
            </w:r>
          </w:p>
        </w:tc>
        <w:tc>
          <w:tcPr>
            <w:tcW w:w="1904" w:type="pct"/>
          </w:tcPr>
          <w:p w14:paraId="4BD67A17" w14:textId="77777777" w:rsidR="00CB6A1F" w:rsidRPr="00CB6A1F" w:rsidRDefault="00CB6A1F" w:rsidP="00944D47">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rPr>
            </w:pPr>
            <w:r w:rsidRPr="00CB6A1F">
              <w:rPr>
                <w:rFonts w:eastAsia="Calibri" w:cstheme="minorHAnsi"/>
                <w:sz w:val="24"/>
                <w:szCs w:val="24"/>
              </w:rPr>
              <w:t>2°C/s for every step</w:t>
            </w:r>
          </w:p>
        </w:tc>
        <w:tc>
          <w:tcPr>
            <w:tcW w:w="1747" w:type="pct"/>
          </w:tcPr>
          <w:p w14:paraId="7E169773" w14:textId="77777777" w:rsidR="00CB6A1F" w:rsidRPr="00CB6A1F" w:rsidRDefault="00CB6A1F" w:rsidP="00944D47">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rPr>
            </w:pPr>
            <w:r w:rsidRPr="00CB6A1F">
              <w:rPr>
                <w:rFonts w:eastAsia="Calibri" w:cstheme="minorHAnsi"/>
                <w:sz w:val="24"/>
                <w:szCs w:val="24"/>
              </w:rPr>
              <w:t>1°C/s for every step</w:t>
            </w:r>
          </w:p>
        </w:tc>
      </w:tr>
      <w:tr w:rsidR="00CB6A1F" w:rsidRPr="00CB6A1F" w14:paraId="78819BB6" w14:textId="77777777" w:rsidTr="00944D47">
        <w:tc>
          <w:tcPr>
            <w:cnfStyle w:val="001000000000" w:firstRow="0" w:lastRow="0" w:firstColumn="1" w:lastColumn="0" w:oddVBand="0" w:evenVBand="0" w:oddHBand="0" w:evenHBand="0" w:firstRowFirstColumn="0" w:firstRowLastColumn="0" w:lastRowFirstColumn="0" w:lastRowLastColumn="0"/>
            <w:tcW w:w="1349" w:type="pct"/>
          </w:tcPr>
          <w:p w14:paraId="44EE71F9" w14:textId="77777777" w:rsidR="00CB6A1F" w:rsidRPr="00CB6A1F" w:rsidRDefault="00CB6A1F" w:rsidP="00944D47">
            <w:pPr>
              <w:autoSpaceDE w:val="0"/>
              <w:autoSpaceDN w:val="0"/>
              <w:adjustRightInd w:val="0"/>
              <w:spacing w:line="480" w:lineRule="auto"/>
              <w:rPr>
                <w:rFonts w:eastAsia="Calibri" w:cstheme="minorHAnsi"/>
                <w:sz w:val="24"/>
                <w:szCs w:val="24"/>
              </w:rPr>
            </w:pPr>
            <w:r w:rsidRPr="00CB6A1F">
              <w:rPr>
                <w:rFonts w:eastAsia="Calibri" w:cstheme="minorHAnsi"/>
                <w:sz w:val="24"/>
                <w:szCs w:val="24"/>
              </w:rPr>
              <w:t>Final annealing</w:t>
            </w:r>
          </w:p>
        </w:tc>
        <w:tc>
          <w:tcPr>
            <w:tcW w:w="1904" w:type="pct"/>
          </w:tcPr>
          <w:p w14:paraId="0A973055" w14:textId="77777777" w:rsidR="00CB6A1F" w:rsidRPr="00CB6A1F" w:rsidRDefault="00CB6A1F" w:rsidP="00944D47">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CB6A1F">
              <w:rPr>
                <w:rFonts w:eastAsia="Calibri" w:cstheme="minorHAnsi"/>
                <w:sz w:val="24"/>
                <w:szCs w:val="24"/>
              </w:rPr>
              <w:t>98°C for 10 min.</w:t>
            </w:r>
          </w:p>
        </w:tc>
        <w:tc>
          <w:tcPr>
            <w:tcW w:w="1747" w:type="pct"/>
          </w:tcPr>
          <w:p w14:paraId="6525DC4E" w14:textId="77777777" w:rsidR="00CB6A1F" w:rsidRPr="00CB6A1F" w:rsidRDefault="00CB6A1F" w:rsidP="00944D47">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CB6A1F">
              <w:rPr>
                <w:rFonts w:eastAsia="Calibri" w:cstheme="minorHAnsi"/>
                <w:sz w:val="24"/>
                <w:szCs w:val="24"/>
              </w:rPr>
              <w:t>98°C for 10 min.</w:t>
            </w:r>
          </w:p>
        </w:tc>
      </w:tr>
      <w:tr w:rsidR="00CB6A1F" w:rsidRPr="00CB6A1F" w14:paraId="13BDCA32" w14:textId="77777777" w:rsidTr="00944D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9" w:type="pct"/>
            <w:tcBorders>
              <w:bottom w:val="single" w:sz="12" w:space="0" w:color="auto"/>
            </w:tcBorders>
          </w:tcPr>
          <w:p w14:paraId="1F3F8D3B" w14:textId="77777777" w:rsidR="00CB6A1F" w:rsidRPr="00CB6A1F" w:rsidRDefault="00CB6A1F" w:rsidP="00944D47">
            <w:pPr>
              <w:autoSpaceDE w:val="0"/>
              <w:autoSpaceDN w:val="0"/>
              <w:adjustRightInd w:val="0"/>
              <w:spacing w:line="480" w:lineRule="auto"/>
              <w:rPr>
                <w:rFonts w:eastAsia="Calibri" w:cstheme="minorHAnsi"/>
                <w:sz w:val="24"/>
                <w:szCs w:val="24"/>
              </w:rPr>
            </w:pPr>
            <w:r w:rsidRPr="00CB6A1F">
              <w:rPr>
                <w:rFonts w:eastAsia="Calibri" w:cstheme="minorHAnsi"/>
                <w:sz w:val="24"/>
                <w:szCs w:val="24"/>
              </w:rPr>
              <w:t>Hold</w:t>
            </w:r>
          </w:p>
        </w:tc>
        <w:tc>
          <w:tcPr>
            <w:tcW w:w="1904" w:type="pct"/>
            <w:tcBorders>
              <w:bottom w:val="single" w:sz="12" w:space="0" w:color="auto"/>
            </w:tcBorders>
          </w:tcPr>
          <w:p w14:paraId="6419CA80" w14:textId="77777777" w:rsidR="00CB6A1F" w:rsidRPr="00CB6A1F" w:rsidRDefault="00CB6A1F" w:rsidP="00944D47">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rPr>
            </w:pPr>
            <w:r w:rsidRPr="00CB6A1F">
              <w:rPr>
                <w:rFonts w:eastAsia="Calibri" w:cstheme="minorHAnsi"/>
                <w:sz w:val="24"/>
                <w:szCs w:val="24"/>
              </w:rPr>
              <w:t xml:space="preserve">4°C </w:t>
            </w:r>
          </w:p>
        </w:tc>
        <w:tc>
          <w:tcPr>
            <w:tcW w:w="1747" w:type="pct"/>
            <w:tcBorders>
              <w:bottom w:val="single" w:sz="12" w:space="0" w:color="auto"/>
            </w:tcBorders>
          </w:tcPr>
          <w:p w14:paraId="4C7A87EF" w14:textId="77777777" w:rsidR="00CB6A1F" w:rsidRPr="00CB6A1F" w:rsidRDefault="00CB6A1F" w:rsidP="00944D47">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rPr>
            </w:pPr>
            <w:r w:rsidRPr="00CB6A1F">
              <w:rPr>
                <w:rFonts w:eastAsia="Calibri" w:cstheme="minorHAnsi"/>
                <w:sz w:val="24"/>
                <w:szCs w:val="24"/>
              </w:rPr>
              <w:t xml:space="preserve">4°C </w:t>
            </w:r>
          </w:p>
        </w:tc>
      </w:tr>
    </w:tbl>
    <w:p w14:paraId="7302A8FE" w14:textId="77777777" w:rsidR="00CB6A1F" w:rsidRPr="00CB6A1F" w:rsidRDefault="00CB6A1F" w:rsidP="00CB6A1F">
      <w:pPr>
        <w:spacing w:after="0" w:line="240" w:lineRule="auto"/>
        <w:rPr>
          <w:rFonts w:cstheme="minorHAnsi"/>
          <w:b/>
          <w:bCs/>
        </w:rPr>
      </w:pPr>
    </w:p>
    <w:p w14:paraId="481A0764" w14:textId="77777777" w:rsidR="00CB6A1F" w:rsidRPr="00CB6A1F" w:rsidRDefault="00CB6A1F" w:rsidP="00CB6A1F">
      <w:pPr>
        <w:spacing w:after="0" w:line="240" w:lineRule="auto"/>
        <w:rPr>
          <w:rFonts w:cstheme="minorHAnsi"/>
          <w:b/>
          <w:bCs/>
        </w:rPr>
      </w:pPr>
    </w:p>
    <w:p w14:paraId="45663E6A" w14:textId="61C675C8" w:rsidR="00FD718E" w:rsidRPr="00CB6A1F" w:rsidRDefault="00FD718E" w:rsidP="00C5793E">
      <w:pPr>
        <w:spacing w:after="0" w:line="240" w:lineRule="auto"/>
        <w:rPr>
          <w:rFonts w:cstheme="minorHAnsi"/>
          <w:b/>
          <w:bCs/>
        </w:rPr>
      </w:pPr>
      <w:r w:rsidRPr="00CB6A1F">
        <w:rPr>
          <w:rFonts w:cstheme="minorHAnsi"/>
          <w:b/>
          <w:bCs/>
        </w:rPr>
        <w:t xml:space="preserve">Supplemental </w:t>
      </w:r>
      <w:r w:rsidR="008A24C7">
        <w:rPr>
          <w:rFonts w:cstheme="minorHAnsi"/>
          <w:b/>
          <w:bCs/>
        </w:rPr>
        <w:t>M</w:t>
      </w:r>
      <w:r w:rsidR="00C6557A" w:rsidRPr="00CB6A1F">
        <w:rPr>
          <w:rFonts w:cstheme="minorHAnsi"/>
          <w:b/>
          <w:bCs/>
        </w:rPr>
        <w:t>ethods</w:t>
      </w:r>
      <w:r w:rsidR="008A24C7">
        <w:rPr>
          <w:rFonts w:cstheme="minorHAnsi"/>
          <w:b/>
          <w:bCs/>
        </w:rPr>
        <w:t xml:space="preserve"> Appendix</w:t>
      </w:r>
      <w:r w:rsidR="009522D3" w:rsidRPr="00CB6A1F">
        <w:rPr>
          <w:rFonts w:cstheme="minorHAnsi"/>
          <w:b/>
          <w:bCs/>
        </w:rPr>
        <w:t xml:space="preserve"> </w:t>
      </w:r>
      <w:r w:rsidR="00CB6A1F" w:rsidRPr="00CB6A1F">
        <w:rPr>
          <w:rFonts w:cstheme="minorHAnsi"/>
          <w:b/>
          <w:bCs/>
        </w:rPr>
        <w:t>1</w:t>
      </w:r>
      <w:r w:rsidRPr="00CB6A1F">
        <w:rPr>
          <w:rFonts w:cstheme="minorHAnsi"/>
          <w:b/>
          <w:bCs/>
        </w:rPr>
        <w:t>:  Library preparation and sequencing protocol for AMF resident community in soil</w:t>
      </w:r>
    </w:p>
    <w:p w14:paraId="14D6283E" w14:textId="77777777" w:rsidR="004926E2" w:rsidRDefault="00FD718E" w:rsidP="004926E2">
      <w:pPr>
        <w:autoSpaceDE w:val="0"/>
        <w:autoSpaceDN w:val="0"/>
        <w:adjustRightInd w:val="0"/>
        <w:spacing w:line="240" w:lineRule="auto"/>
        <w:rPr>
          <w:rFonts w:cstheme="minorHAnsi"/>
        </w:rPr>
      </w:pPr>
      <w:r w:rsidRPr="00CB6A1F">
        <w:rPr>
          <w:rFonts w:cstheme="minorHAnsi"/>
        </w:rPr>
        <w:t>Briefly, DNA was extracted from 0.2 g soil using Qiagen DNeasy 96 PowerSoil Pro Kit (Qiagen Inc., Hilden, Germany). DNA extracts were then prepared for PCR amplification and Next Generation Sequencing (NGS) at the University of British Columbia Sequencing and Bioinformatics Consortium (SBC), Vancouver, BC. Briefly, PCR was conducted to amplify a 550 bp region in the small subunit (SSU) rRNA gene using the universal eukaryotic primer WANDA</w:t>
      </w:r>
      <w:r w:rsidR="001A04EB">
        <w:rPr>
          <w:rFonts w:cstheme="minorHAnsi"/>
        </w:rPr>
        <w:t xml:space="preserve"> </w:t>
      </w:r>
      <w:r w:rsidR="001A04EB">
        <w:rPr>
          <w:rFonts w:cstheme="minorHAnsi"/>
        </w:rPr>
        <w:fldChar w:fldCharType="begin"/>
      </w:r>
      <w:r w:rsidR="001A04EB">
        <w:rPr>
          <w:rFonts w:cstheme="minorHAnsi"/>
        </w:rPr>
        <w:instrText xml:space="preserve"> ADDIN ZOTERO_ITEM CSL_CITATION {"citationID":"wdB6DEdT","properties":{"unsorted":false,"formattedCitation":"(Dumbrell et al. 2011)","plainCitation":"(Dumbrell et al. 2011)","noteIndex":0},"citationItems":[{"id":5858,"uris":["http://zotero.org/users/8644718/items/8S6ZH2AL"],"itemData":{"id":5858,"type":"article-journal","abstract":"Understanding the dynamics of rhizosphere microbial communities is essential for predicting future ecosystem function, yet most research focuses on either spatial or temporal processes, ignoring combined spatio-temporal effects.","container-title":"New Phytologist","DOI":"10.1111/j.1469-8137.2010.03636.x","ISSN":"0028-646X, 1469-8137","issue":"3","journalAbbreviation":"New Phytologist","language":"en","license":"http://onlinelibrary.wiley.com/termsAndConditions#vor","page":"794-804","source":"DOI.org (Crossref)","title":"Distinct seasonal assemblages of arbuscular mycorrhizal fungi revealed by massively parallel pyrosequencing","volume":"190","author":[{"family":"Dumbrell","given":"Alex J."},{"family":"Ashton","given":"Peter D."},{"family":"Aziz","given":"Naveed"},{"family":"Feng","given":"Gu"},{"family":"Nelson","given":"Michaela"},{"family":"Dytham","given":"Calvin"},{"family":"Fitter","given":"Alastair H."},{"family":"Helgason","given":"Thorunn"}],"issued":{"date-parts":[["2011",5]]}}}],"schema":"https://github.com/citation-style-language/schema/raw/master/csl-citation.json"} </w:instrText>
      </w:r>
      <w:r w:rsidR="001A04EB">
        <w:rPr>
          <w:rFonts w:cstheme="minorHAnsi"/>
        </w:rPr>
        <w:fldChar w:fldCharType="separate"/>
      </w:r>
      <w:r w:rsidR="001A04EB">
        <w:rPr>
          <w:rFonts w:cstheme="minorHAnsi"/>
          <w:noProof/>
        </w:rPr>
        <w:t>(Dumbrell et al. 2011)</w:t>
      </w:r>
      <w:r w:rsidR="001A04EB">
        <w:rPr>
          <w:rFonts w:cstheme="minorHAnsi"/>
        </w:rPr>
        <w:fldChar w:fldCharType="end"/>
      </w:r>
      <w:r w:rsidR="001A04EB">
        <w:rPr>
          <w:rFonts w:cstheme="minorHAnsi"/>
        </w:rPr>
        <w:t xml:space="preserve"> </w:t>
      </w:r>
      <w:r w:rsidRPr="00CB6A1F">
        <w:rPr>
          <w:rFonts w:cstheme="minorHAnsi"/>
        </w:rPr>
        <w:t xml:space="preserve">and the Glomeromycotina-specific primer AML2 </w:t>
      </w:r>
      <w:r w:rsidR="001A04EB">
        <w:rPr>
          <w:rFonts w:cstheme="minorHAnsi"/>
        </w:rPr>
        <w:fldChar w:fldCharType="begin"/>
      </w:r>
      <w:r w:rsidR="001A04EB">
        <w:rPr>
          <w:rFonts w:cstheme="minorHAnsi"/>
        </w:rPr>
        <w:instrText xml:space="preserve"> ADDIN ZOTERO_ITEM CSL_CITATION {"citationID":"7mh9MUaU","properties":{"unsorted":false,"formattedCitation":"(Lee et al. 2008)","plainCitation":"(Lee et al. 2008)","noteIndex":0},"citationItems":[{"id":6958,"uris":["http://zotero.org/users/8644718/items/YKFQS3AF"],"itemData":{"id":6958,"type":"article-journal","abstract":"A set of PCR primers that should amplify all subgroups of arbuscular mycorrhizal fungi (AMF, Glomeromycota), but exclude sequences from other organisms, was  designed to facilitate rapid detection and identification directly from  field-grown plant roots. The small subunit rRNA gene was targeted for the new  primers (AML1 and AML2) because phylogenetic relationships among the  Glomeromycota are well understood for this gene. Sequence comparisons indicate  that the new primers should amplify all published AMF sequences except those from  Archaeospora trappei. The specificity of the new primers was tested using 23  different AMF spore morphotypes from trap cultures and Miscanthus sinensis,  Glycine max and Panax ginseng roots sampled from the field. Non-AMF DNA of 14  plants, 14 Basidiomycota and 18 Ascomycota was also tested as negative controls.  Sequences amplified from roots using the new primers were compared with those  obtained using the established NS31 and AM1 primer combination. The new primers  have much better specificity and coverage of all known AMF groups.","container-title":"FEMS microbiology ecology","DOI":"10.1111/j.1574-6941.2008.00531.x","ISSN":"0168-6496","issue":"2","journalAbbreviation":"FEMS Microbiol Ecol","language":"eng","page":"339-349","PMID":"18631176","publisher-place":"England","title":"Improved PCR primers for the detection and identification of arbuscular mycorrhizal fungi.","volume":"65","author":[{"family":"Lee","given":"Jaikoo"},{"family":"Lee","given":"Sangsun"},{"family":"Young","given":"J. Peter W."}],"issued":{"date-parts":[["2008",8]]}}}],"schema":"https://github.com/citation-style-language/schema/raw/master/csl-citation.json"} </w:instrText>
      </w:r>
      <w:r w:rsidR="001A04EB">
        <w:rPr>
          <w:rFonts w:cstheme="minorHAnsi"/>
        </w:rPr>
        <w:fldChar w:fldCharType="separate"/>
      </w:r>
      <w:r w:rsidR="001A04EB">
        <w:rPr>
          <w:rFonts w:cstheme="minorHAnsi"/>
          <w:noProof/>
        </w:rPr>
        <w:t>(Lee et al. 2008)</w:t>
      </w:r>
      <w:r w:rsidR="001A04EB">
        <w:rPr>
          <w:rFonts w:cstheme="minorHAnsi"/>
        </w:rPr>
        <w:fldChar w:fldCharType="end"/>
      </w:r>
      <w:r w:rsidRPr="00CB6A1F">
        <w:rPr>
          <w:rFonts w:cstheme="minorHAnsi"/>
        </w:rPr>
        <w:t>. Reactions were performed in 25 μL mastermix containing 2.5 μL DNA template, 7.8 μL of nuclease-free H</w:t>
      </w:r>
      <w:r w:rsidRPr="00CB6A1F">
        <w:rPr>
          <w:rFonts w:cstheme="minorHAnsi"/>
          <w:vertAlign w:val="subscript"/>
        </w:rPr>
        <w:t>2</w:t>
      </w:r>
      <w:r w:rsidRPr="00CB6A1F">
        <w:rPr>
          <w:rFonts w:cstheme="minorHAnsi"/>
        </w:rPr>
        <w:t>O, 12.5 μL of PCR Buffer, 1.5 μL of 25mM MgCl</w:t>
      </w:r>
      <w:r w:rsidRPr="00CB6A1F">
        <w:rPr>
          <w:rFonts w:cstheme="minorHAnsi"/>
          <w:vertAlign w:val="subscript"/>
        </w:rPr>
        <w:t>2</w:t>
      </w:r>
      <w:r w:rsidRPr="00CB6A1F">
        <w:rPr>
          <w:rFonts w:cstheme="minorHAnsi"/>
        </w:rPr>
        <w:t>, 0.5 μl of 50  μM AML2/CS2 primer mix, 0.5 μl of 50 μM WANDA/CS1 primer mix, and 0.2 μl 2.5 U μL</w:t>
      </w:r>
      <w:r w:rsidRPr="00CB6A1F">
        <w:rPr>
          <w:rFonts w:cstheme="minorHAnsi"/>
          <w:vertAlign w:val="superscript"/>
        </w:rPr>
        <w:t>-1</w:t>
      </w:r>
      <w:r w:rsidRPr="00CB6A1F">
        <w:rPr>
          <w:rFonts w:cstheme="minorHAnsi"/>
        </w:rPr>
        <w:t xml:space="preserve"> DNA Polymerase, using the following thermal cycler conditions: 95°C for 2 min; 30 cycles of 95°C for 30 s, 54°C for 40 s and 72°C for 1 min; and 72°C for 10 min. A second PCR was conducted to attach Illumina barcodes and adaptors to amplicons from the initial PCR using the same Fluidigm tags as described above. Amplicons from the first PCR were diluted 15-fold and PCR were performed in 20 μL volumes using 1 μL of diluted PCR1 product, 6.89 μL of nuclease-free H</w:t>
      </w:r>
      <w:r w:rsidRPr="00CB6A1F">
        <w:rPr>
          <w:rFonts w:cstheme="minorHAnsi"/>
          <w:vertAlign w:val="subscript"/>
        </w:rPr>
        <w:t>2</w:t>
      </w:r>
      <w:r w:rsidRPr="00CB6A1F">
        <w:rPr>
          <w:rFonts w:cstheme="minorHAnsi"/>
        </w:rPr>
        <w:t>O, 10 μL of PCR Buffer, 1.2 μL of 25mM MgCl</w:t>
      </w:r>
      <w:r w:rsidRPr="00CB6A1F">
        <w:rPr>
          <w:rFonts w:cstheme="minorHAnsi"/>
          <w:vertAlign w:val="subscript"/>
        </w:rPr>
        <w:t>2</w:t>
      </w:r>
      <w:r w:rsidRPr="00CB6A1F">
        <w:rPr>
          <w:rFonts w:cstheme="minorHAnsi"/>
        </w:rPr>
        <w:t>, 0.75 μL of 2 μM Illumina adapter/barcode primer complex and 0.16 μL 2.5 U μL</w:t>
      </w:r>
      <w:r w:rsidRPr="00CB6A1F">
        <w:rPr>
          <w:rFonts w:cstheme="minorHAnsi"/>
          <w:vertAlign w:val="superscript"/>
        </w:rPr>
        <w:t>-1</w:t>
      </w:r>
      <w:r w:rsidRPr="00CB6A1F">
        <w:rPr>
          <w:rFonts w:cstheme="minorHAnsi"/>
        </w:rPr>
        <w:t xml:space="preserve"> DNA Polymerase. Thermocycler conditions were as follows: 95°C for 1 min; 12 cycles of 95°C for 30 s, 60°C for 30 s and 68°C for 1 min; and 68°C for 5 min. Sequencing was conducted on the Illumina MiSeq platform using 2 x 300 bp paired-end sequencing with 600 cycles (Illumina Inc.).</w:t>
      </w:r>
      <w:r w:rsidR="004926E2">
        <w:rPr>
          <w:rFonts w:cstheme="minorHAnsi"/>
        </w:rPr>
        <w:t xml:space="preserve"> </w:t>
      </w:r>
    </w:p>
    <w:p w14:paraId="66F463DD" w14:textId="746B6479" w:rsidR="004926E2" w:rsidRDefault="00FD718E" w:rsidP="004926E2">
      <w:pPr>
        <w:autoSpaceDE w:val="0"/>
        <w:autoSpaceDN w:val="0"/>
        <w:adjustRightInd w:val="0"/>
        <w:spacing w:line="240" w:lineRule="auto"/>
        <w:rPr>
          <w:rFonts w:cstheme="minorHAnsi"/>
        </w:rPr>
      </w:pPr>
      <w:r w:rsidRPr="00CB6A1F">
        <w:rPr>
          <w:rFonts w:cstheme="minorHAnsi"/>
        </w:rPr>
        <w:t>Libraries were analyzed using a bioinformatic pipeline specific for AMF community analysis</w:t>
      </w:r>
      <w:r w:rsidR="001A04EB">
        <w:rPr>
          <w:rFonts w:cstheme="minorHAnsi"/>
        </w:rPr>
        <w:t xml:space="preserve"> </w:t>
      </w:r>
      <w:r w:rsidR="001A04EB">
        <w:rPr>
          <w:rFonts w:cstheme="minorHAnsi"/>
        </w:rPr>
        <w:fldChar w:fldCharType="begin"/>
      </w:r>
      <w:r w:rsidR="001A04EB">
        <w:rPr>
          <w:rFonts w:cstheme="minorHAnsi"/>
        </w:rPr>
        <w:instrText xml:space="preserve"> ADDIN ZOTERO_ITEM CSL_CITATION {"citationID":"RrEJe0Dj","properties":{"unsorted":false,"formattedCitation":"(Egan et al. 2018)","plainCitation":"(Egan et al. 2018)","noteIndex":0},"citationItems":[{"id":5043,"uris":["http://zotero.org/users/8644718/items/6SE7DLZ2"],"itemData":{"id":5043,"type":"article-journal","container-title":"FUNGAL ECOLOGY","DOI":"10.1016/j.funeco.2018.01.004","ISSN":"1754-5048","license":"All rights reserved","page":"52-64","title":"Using mock communities of arbuscular mycorrhizal fungi to evaluate fidelity associated with Illumina sequencing","volume":"33","author":[{"family":"Egan","given":"Cameron Patrick"},{"family":"Rummel","given":"Alexii"},{"family":"Kokkoris","given":"Vasilis"},{"family":"Klironomos","given":"John"},{"family":"Lekberg","given":"Ylva"},{"family":"Hart","given":"Miranda"}],"issued":{"date-parts":[["2018",6]]}}}],"schema":"https://github.com/citation-style-language/schema/raw/master/csl-citation.json"} </w:instrText>
      </w:r>
      <w:r w:rsidR="001A04EB">
        <w:rPr>
          <w:rFonts w:cstheme="minorHAnsi"/>
        </w:rPr>
        <w:fldChar w:fldCharType="separate"/>
      </w:r>
      <w:r w:rsidR="001A04EB">
        <w:rPr>
          <w:rFonts w:cstheme="minorHAnsi"/>
          <w:noProof/>
        </w:rPr>
        <w:t>(Egan et al. 2018)</w:t>
      </w:r>
      <w:r w:rsidR="001A04EB">
        <w:rPr>
          <w:rFonts w:cstheme="minorHAnsi"/>
        </w:rPr>
        <w:fldChar w:fldCharType="end"/>
      </w:r>
      <w:r w:rsidRPr="00CB6A1F">
        <w:rPr>
          <w:rFonts w:cstheme="minorHAnsi"/>
        </w:rPr>
        <w:t xml:space="preserve">. Raw reads were demultiplexed </w:t>
      </w:r>
      <w:r w:rsidR="004926E2" w:rsidRPr="00CE704C">
        <w:rPr>
          <w:rFonts w:cstheme="minorHAnsi"/>
          <w:color w:val="000000" w:themeColor="text1"/>
        </w:rPr>
        <w:t>using exact primer matching, a max error rate 0.1, minimum overlap 8 bp, and no indels</w:t>
      </w:r>
      <w:r w:rsidR="004926E2" w:rsidRPr="00CB6A1F">
        <w:rPr>
          <w:rFonts w:cstheme="minorHAnsi"/>
        </w:rPr>
        <w:t xml:space="preserve"> </w:t>
      </w:r>
      <w:r w:rsidRPr="00CB6A1F">
        <w:rPr>
          <w:rFonts w:cstheme="minorHAnsi"/>
        </w:rPr>
        <w:t xml:space="preserve">in QIIME2 </w:t>
      </w:r>
      <w:r w:rsidR="001A04EB">
        <w:rPr>
          <w:rFonts w:cstheme="minorHAnsi"/>
        </w:rPr>
        <w:fldChar w:fldCharType="begin"/>
      </w:r>
      <w:r w:rsidR="001A04EB">
        <w:rPr>
          <w:rFonts w:cstheme="minorHAnsi"/>
        </w:rPr>
        <w:instrText xml:space="preserve"> ADDIN ZOTERO_ITEM CSL_CITATION {"citationID":"XHzgjJjs","properties":{"unsorted":false,"formattedCitation":"(Bolyen et al. 2019)","plainCitation":"(Bolyen et al. 2019)","noteIndex":0},"citationItems":[{"id":6976,"uris":["http://zotero.org/users/8644718/items/6JW58AVE"],"itemData":{"id":6976,"type":"article-journal","container-title":"Nature Biotechnology","DOI":"10.1038/s41587-019-0209-9","ISSN":"1546-1696","issue":"8","journalAbbreviation":"Nature Biotechnology","page":"852-857","title":"Reproducible, interactive, scalable and extensible microbiome data science using QIIME 2","volume":"37","author":[{"family":"Bolyen","given":"Evan"},{"family":"Rideout","given":"Jai Ram"},{"family":"Dillon","given":"Matthew R."},{"family":"Bokulich","given":"Nicholas A."},{"family":"Abnet","given":"Christian C."},{"family":"Al-Ghalith","given":"Gabriel A."},{"family":"Alexander","given":"Harriet"},{"family":"Alm","given":"Eric J."},{"family":"Arumugam","given":"Manimozhiyan"},{"family":"Asnicar","given":"Francesco"},{"family":"Bai","given":"Yang"},{"family":"Bisanz","given":"Jordan E."},{"family":"Bittinger","given":"Kyle"},{"family":"Brejnrod","given":"Asker"},{"family":"Brislawn","given":"Colin J."},{"family":"Brown","given":"C. Titus"},{"family":"Callahan","given":"Benjamin J."},{"family":"Caraballo-Rodríguez","given":"Andrés Mauricio"},{"family":"Chase","given":"John"},{"family":"Cope","given":"Emily K."},{"family":"Da Silva","given":"Ricardo"},{"family":"Diener","given":"Christian"},{"family":"Dorrestein","given":"Pieter C."},{"family":"Douglas","given":"Gavin M."},{"family":"Durall","given":"Daniel M."},{"family":"Duvallet","given":"Claire"},{"family":"Edwardson","given":"Christian F."},{"family":"Ernst","given":"Madeleine"},{"family":"Estaki","given":"Mehrbod"},{"family":"Fouquier","given":"Jennifer"},{"family":"Gauglitz","given":"Julia M."},{"family":"Gibbons","given":"Sean M."},{"family":"Gibson","given":"Deanna L."},{"family":"Gonzalez","given":"Antonio"},{"family":"Gorlick","given":"Kestrel"},{"family":"Guo","given":"Jiarong"},{"family":"Hillmann","given":"Benjamin"},{"family":"Holmes","given":"Susan"},{"family":"Holste","given":"Hannes"},{"family":"Huttenhower","given":"Curtis"},{"family":"Huttley","given":"Gavin A."},{"family":"Janssen","given":"Stefan"},{"family":"Jarmusch","given":"Alan K."},{"family":"Jiang","given":"Lingjing"},{"family":"Kaehler","given":"Benjamin D."},{"family":"Kang","given":"Kyo Bin"},{"family":"Keefe","given":"Christopher R."},{"family":"Keim","given":"Paul"},{"family":"Kelley","given":"Scott T."},{"family":"Knights","given":"Dan"},{"family":"Koester","given":"Irina"},{"family":"Kosciolek","given":"Tomasz"},{"family":"Kreps","given":"Jorden"},{"family":"Langille","given":"Morgan G. I."},{"family":"Lee","given":"Joslynn"},{"family":"Ley","given":"Ruth"},{"family":"Liu","given":"Yong-Xin"},{"family":"Loftfield","given":"Erikka"},{"family":"Lozupone","given":"Catherine"},{"family":"Maher","given":"Massoud"},{"family":"Marotz","given":"Clarisse"},{"family":"Martin","given":"Bryan D."},{"family":"McDonald","given":"Daniel"},{"family":"McIver","given":"Lauren J."},{"family":"Melnik","given":"Alexey V."},{"family":"Metcalf","given":"Jessica L."},{"family":"Morgan","given":"Sydney C."},{"family":"Morton","given":"Jamie T."},{"family":"Naimey","given":"Ahmad Turan"},{"family":"Navas-Molina","given":"Jose A."},{"family":"Nothias","given":"Louis Felix"},{"family":"Orchanian","given":"Stephanie B."},{"family":"Pearson","given":"Talima"},{"family":"Peoples","given":"Samuel L."},{"family":"Petras","given":"Daniel"},{"family":"Preuss","given":"Mary Lai"},{"family":"Pruesse","given":"Elmar"},{"family":"Rasmussen","given":"Lasse Buur"},{"family":"Rivers","given":"Adam"},{"family":"Robeson","given":"Michael S."},{"family":"Rosenthal","given":"Patrick"},{"family":"Segata","given":"Nicola"},{"family":"Shaffer","given":"Michael"},{"family":"Shiffer","given":"Arron"},{"family":"Sinha","given":"Rashmi"},{"family":"Song","given":"Se Jin"},{"family":"Spear","given":"John R."},{"family":"Swafford","given":"Austin D."},{"family":"Thompson","given":"Luke R."},{"family":"Torres","given":"Pedro J."},{"family":"Trinh","given":"Pauline"},{"family":"Tripathi","given":"Anupriya"},{"family":"Turnbaugh","given":"Peter J."},{"family":"Ul-Hasan","given":"Sabah"},{"family":"Hooft","given":"Justin J. J.","non-dropping-particle":"van der"},{"family":"Vargas","given":"Fernando"},{"family":"Vázquez-Baeza","given":"Yoshiki"},{"family":"Vogtmann","given":"Emily"},{"family":"Hippel","given":"Max","non-dropping-particle":"von"},{"family":"Walters","given":"William"},{"family":"Wan","given":"Yunhu"},{"family":"Wang","given":"Mingxun"},{"family":"Warren","given":"Jonathan"},{"family":"Weber","given":"Kyle C."},{"family":"Williamson","given":"Charles H. D."},{"family":"Willis","given":"Amy D."},{"family":"Xu","given":"Zhenjiang Zech"},{"family":"Zaneveld","given":"Jesse R."},{"family":"Zhang","given":"Yilong"},{"family":"Zhu","given":"Qiyun"},{"family":"Knight","given":"Rob"},{"family":"Caporaso","given":"J. Gregory"}],"issued":{"date-parts":[["2019",8,1]]}}}],"schema":"https://github.com/citation-style-language/schema/raw/master/csl-citation.json"} </w:instrText>
      </w:r>
      <w:r w:rsidR="001A04EB">
        <w:rPr>
          <w:rFonts w:cstheme="minorHAnsi"/>
        </w:rPr>
        <w:fldChar w:fldCharType="separate"/>
      </w:r>
      <w:r w:rsidR="001A04EB">
        <w:rPr>
          <w:rFonts w:cstheme="minorHAnsi"/>
          <w:noProof/>
        </w:rPr>
        <w:t>(Bolyen et al. 2019)</w:t>
      </w:r>
      <w:r w:rsidR="001A04EB">
        <w:rPr>
          <w:rFonts w:cstheme="minorHAnsi"/>
        </w:rPr>
        <w:fldChar w:fldCharType="end"/>
      </w:r>
      <w:r w:rsidR="001A04EB">
        <w:rPr>
          <w:rFonts w:cstheme="minorHAnsi"/>
        </w:rPr>
        <w:t xml:space="preserve"> </w:t>
      </w:r>
      <w:r w:rsidRPr="00CB6A1F">
        <w:rPr>
          <w:rFonts w:cstheme="minorHAnsi"/>
        </w:rPr>
        <w:t xml:space="preserve">via </w:t>
      </w:r>
      <w:r w:rsidRPr="00CB6A1F">
        <w:rPr>
          <w:rFonts w:cstheme="minorHAnsi"/>
          <w:i/>
          <w:iCs/>
        </w:rPr>
        <w:t>q2-demux</w:t>
      </w:r>
      <w:r w:rsidRPr="00CB6A1F">
        <w:rPr>
          <w:rFonts w:cstheme="minorHAnsi"/>
        </w:rPr>
        <w:t xml:space="preserve"> and DADA2</w:t>
      </w:r>
      <w:r w:rsidR="001A04EB">
        <w:rPr>
          <w:rFonts w:cstheme="minorHAnsi"/>
        </w:rPr>
        <w:t xml:space="preserve"> </w:t>
      </w:r>
      <w:r w:rsidR="001A04EB">
        <w:rPr>
          <w:rFonts w:cstheme="minorHAnsi"/>
        </w:rPr>
        <w:fldChar w:fldCharType="begin"/>
      </w:r>
      <w:r w:rsidR="001A04EB">
        <w:rPr>
          <w:rFonts w:cstheme="minorHAnsi"/>
        </w:rPr>
        <w:instrText xml:space="preserve"> ADDIN ZOTERO_ITEM CSL_CITATION {"citationID":"NRBuK8np","properties":{"unsorted":false,"formattedCitation":"(Callahan et al. 2016)","plainCitation":"(Callahan et al. 2016)","noteIndex":0},"citationItems":[{"id":6975,"uris":["http://zotero.org/users/8644718/items/ZK2FCAYF"],"itemData":{"id":6975,"type":"article-journal","abstract":"We present the open-source software package DADA2 for modeling and correcting Illumina-sequenced amplicon errors (https://github.com/benjjneb/dada2). DADA2  infers sample sequences exactly and resolves differences of as little as 1  nucleotide. In several mock communities, DADA2 identified more real variants and  output fewer spurious sequences than other methods. We applied DADA2 to vaginal  samples from a cohort of pregnant women, revealing a diversity of previously  undetected Lactobacillus crispatus variants.","container-title":"Nature methods","DOI":"10.1038/nmeth.3869","ISSN":"1548-7105 1548-7091","issue":"7","journalAbbreviation":"Nat Methods","language":"eng","page":"581-583","PMID":"27214047","PMCID":"PMC4927377","publisher-place":"United States","title":"DADA2: High-resolution sample inference from Illumina amplicon data.","volume":"13","author":[{"family":"Callahan","given":"Benjamin J."},{"family":"McMurdie","given":"Paul J."},{"family":"Rosen","given":"Michael J."},{"family":"Han","given":"Andrew W."},{"family":"Johnson","given":"Amy Jo A."},{"family":"Holmes","given":"Susan P."}],"issued":{"date-parts":[["2016",7]]}}}],"schema":"https://github.com/citation-style-language/schema/raw/master/csl-citation.json"} </w:instrText>
      </w:r>
      <w:r w:rsidR="001A04EB">
        <w:rPr>
          <w:rFonts w:cstheme="minorHAnsi"/>
        </w:rPr>
        <w:fldChar w:fldCharType="separate"/>
      </w:r>
      <w:r w:rsidR="001A04EB">
        <w:rPr>
          <w:rFonts w:cstheme="minorHAnsi"/>
          <w:noProof/>
        </w:rPr>
        <w:t>(Callahan et al. 2016)</w:t>
      </w:r>
      <w:r w:rsidR="001A04EB">
        <w:rPr>
          <w:rFonts w:cstheme="minorHAnsi"/>
        </w:rPr>
        <w:fldChar w:fldCharType="end"/>
      </w:r>
      <w:r w:rsidRPr="00CB6A1F">
        <w:rPr>
          <w:rFonts w:cstheme="minorHAnsi"/>
        </w:rPr>
        <w:t xml:space="preserve">. Sequences passing QC were assembled into amplicon sequence variants (ASVs) and taxonomy assignment was done using the MaarjAM reference database </w:t>
      </w:r>
      <w:r w:rsidRPr="00CB6A1F">
        <w:rPr>
          <w:rFonts w:cstheme="minorHAnsi"/>
        </w:rPr>
        <w:fldChar w:fldCharType="begin"/>
      </w:r>
      <w:r w:rsidRPr="00CB6A1F">
        <w:rPr>
          <w:rFonts w:cstheme="minorHAnsi"/>
        </w:rPr>
        <w:instrText xml:space="preserve"> ADDIN EN.CITE &lt;EndNote&gt;&lt;Cite&gt;&lt;Author&gt;Öpik&lt;/Author&gt;&lt;Year&gt;2010&lt;/Year&gt;&lt;RecNum&gt;319&lt;/RecNum&gt;&lt;DisplayText&gt;(Öpik&lt;style face="italic"&gt; et al.&lt;/style&gt;, 2010)&lt;/DisplayText&gt;&lt;record&gt;&lt;rec-number&gt;319&lt;/rec-number&gt;&lt;foreign-keys&gt;&lt;key app="EN" db-id="5ar9dd2t2vfd56effapvvr0xd9ea0s0xr2wx" timestamp="1683516526"&gt;319&lt;/key&gt;&lt;/foreign-keys&gt;&lt;ref-type name="Journal Article"&gt;17&lt;/ref-type&gt;&lt;contributors&gt;&lt;authors&gt;&lt;author&gt;Öpik, Maarja&lt;/author&gt;&lt;author&gt;Vanatoa, A&lt;/author&gt;&lt;author&gt;Vanatoa, E&lt;/author&gt;&lt;author&gt;Moora, M&lt;/author&gt;&lt;author&gt;Davison, J&lt;/author&gt;&lt;author&gt;Kalwij, JM&lt;/author&gt;&lt;author&gt;Reier, Ü&lt;/author&gt;&lt;author&gt;Zobel, M&lt;/author&gt;&lt;/authors&gt;&lt;/contributors&gt;&lt;titles&gt;&lt;title&gt;The online database MaarjAM reveals global and ecosystemic distribution patterns in arbuscular mycorrhizal fungi (Glomeromycota)&lt;/title&gt;&lt;secondary-title&gt;New Phytologist&lt;/secondary-title&gt;&lt;/titles&gt;&lt;periodical&gt;&lt;full-title&gt;New phytologist&lt;/full-title&gt;&lt;/periodical&gt;&lt;pages&gt;223-241&lt;/pages&gt;&lt;volume&gt;188&lt;/volume&gt;&lt;number&gt;1&lt;/number&gt;&lt;dates&gt;&lt;year&gt;2010&lt;/year&gt;&lt;/dates&gt;&lt;isbn&gt;0028-646X&lt;/isbn&gt;&lt;urls&gt;&lt;/urls&gt;&lt;/record&gt;&lt;/Cite&gt;&lt;/EndNote&gt;</w:instrText>
      </w:r>
      <w:r w:rsidRPr="00CB6A1F">
        <w:rPr>
          <w:rFonts w:cstheme="minorHAnsi"/>
        </w:rPr>
        <w:fldChar w:fldCharType="separate"/>
      </w:r>
      <w:r w:rsidR="001A04EB">
        <w:rPr>
          <w:rFonts w:cstheme="minorHAnsi"/>
        </w:rPr>
        <w:fldChar w:fldCharType="begin"/>
      </w:r>
      <w:r w:rsidR="001A04EB">
        <w:rPr>
          <w:rFonts w:cstheme="minorHAnsi"/>
        </w:rPr>
        <w:instrText xml:space="preserve"> ADDIN ZOTERO_ITEM CSL_CITATION {"citationID":"QZrqoVqH","properties":{"unsorted":false,"formattedCitation":"(\\uc0\\u214{}pik et al. 2010)","plainCitation":"(Öpik et al. 2010)","noteIndex":0},"citationItems":[{"id":52,"uris":["http://zotero.org/users/8644718/items/RUBJZAJU"],"itemData":{"id":52,"type":"article-journal","abstract":"Here, we describe a new database, MaarjAM, that summarizes publicly available Glomeromycota DNA sequence data and associated metadata. The goal of the database is to facilitate the description of distribution and richness patterns in this group of fungi.","container-title":"New Phytologist","DOI":"10.1111/j.1469-8137.2010.03334.x","ISSN":"0028646X","issue":"1","language":"en","page":"223-241","source":"DOI.org (Crossref)","title":"The online database MaarjAM reveals global and ecosystemic distribution patterns in arbuscular mycorrhizal fungi (Glomeromycota)","volume":"188","author":[{"family":"Öpik","given":"M."},{"family":"Vanatoa","given":"A."},{"family":"Vanatoa","given":"E."},{"family":"Moora","given":"M."},{"family":"Davison","given":"J."},{"family":"Kalwij","given":"J. M."},{"family":"Reier","given":"Ü."},{"family":"Zobel","given":"M."}],"issued":{"date-parts":[["2010",10]]}}}],"schema":"https://github.com/citation-style-language/schema/raw/master/csl-citation.json"} </w:instrText>
      </w:r>
      <w:r w:rsidR="001A04EB">
        <w:rPr>
          <w:rFonts w:cstheme="minorHAnsi"/>
        </w:rPr>
        <w:fldChar w:fldCharType="separate"/>
      </w:r>
      <w:r w:rsidR="001A04EB" w:rsidRPr="001A04EB">
        <w:rPr>
          <w:rFonts w:ascii="Calibri" w:cs="Calibri"/>
          <w:kern w:val="0"/>
          <w:lang w:val="en-US"/>
        </w:rPr>
        <w:t>(Öpik et al. 2010)</w:t>
      </w:r>
      <w:r w:rsidR="001A04EB">
        <w:rPr>
          <w:rFonts w:cstheme="minorHAnsi"/>
        </w:rPr>
        <w:fldChar w:fldCharType="end"/>
      </w:r>
      <w:r w:rsidRPr="00CB6A1F">
        <w:rPr>
          <w:rFonts w:cstheme="minorHAnsi"/>
        </w:rPr>
        <w:t>)</w:t>
      </w:r>
      <w:r w:rsidRPr="00CB6A1F">
        <w:rPr>
          <w:rFonts w:cstheme="minorHAnsi"/>
        </w:rPr>
        <w:fldChar w:fldCharType="end"/>
      </w:r>
      <w:r w:rsidRPr="00CB6A1F">
        <w:rPr>
          <w:rFonts w:cstheme="minorHAnsi"/>
        </w:rPr>
        <w:t xml:space="preserve"> at ≥95% sequence similarity</w:t>
      </w:r>
      <w:r w:rsidR="004926E2">
        <w:rPr>
          <w:rFonts w:cstheme="minorHAnsi"/>
        </w:rPr>
        <w:t xml:space="preserve"> </w:t>
      </w:r>
      <w:r w:rsidR="004926E2" w:rsidRPr="004926E2">
        <w:rPr>
          <w:rFonts w:cstheme="minorHAnsi"/>
        </w:rPr>
        <w:t>u</w:t>
      </w:r>
      <w:r w:rsidR="004926E2">
        <w:rPr>
          <w:rFonts w:cstheme="minorHAnsi"/>
        </w:rPr>
        <w:t>sing</w:t>
      </w:r>
      <w:r w:rsidR="004926E2" w:rsidRPr="004926E2">
        <w:rPr>
          <w:rFonts w:cstheme="minorHAnsi"/>
        </w:rPr>
        <w:t xml:space="preserve"> a custom Naive Bayes classifier</w:t>
      </w:r>
      <w:r w:rsidR="004926E2">
        <w:rPr>
          <w:rFonts w:cstheme="minorHAnsi"/>
        </w:rPr>
        <w:t xml:space="preserve"> </w:t>
      </w:r>
      <w:r w:rsidR="004926E2" w:rsidRPr="004926E2">
        <w:rPr>
          <w:rFonts w:cstheme="minorHAnsi"/>
        </w:rPr>
        <w:t xml:space="preserve"> filtered to Mucoromycota and trimmed to the target SSU region (200–650 bp). </w:t>
      </w:r>
      <w:r w:rsidRPr="00CB6A1F">
        <w:rPr>
          <w:rFonts w:cstheme="minorHAnsi"/>
        </w:rPr>
        <w:t xml:space="preserve"> A second search of unassigned sequences was done against 18S </w:t>
      </w:r>
      <w:r w:rsidR="00C6557A" w:rsidRPr="00CB6A1F">
        <w:rPr>
          <w:rFonts w:cstheme="minorHAnsi"/>
        </w:rPr>
        <w:t>Glomeromycotan</w:t>
      </w:r>
      <w:r w:rsidRPr="00CB6A1F">
        <w:rPr>
          <w:rFonts w:cstheme="minorHAnsi"/>
        </w:rPr>
        <w:t xml:space="preserve"> reference sequences downloaded from NCBI nucleotide database at ≥80% sequence similarity. </w:t>
      </w:r>
      <w:r w:rsidR="004926E2" w:rsidRPr="004926E2">
        <w:rPr>
          <w:rFonts w:cstheme="minorHAnsi"/>
        </w:rPr>
        <w:t>SVs were classified with a confidence threshold of 0.7. Feature tables were collapsed to taxonomic level 7 and filtered to remove singletons and taxa present in fewer than two samples.</w:t>
      </w:r>
    </w:p>
    <w:p w14:paraId="73353F0F" w14:textId="20A9BEA3" w:rsidR="00FD718E" w:rsidRPr="004926E2" w:rsidRDefault="00FD718E" w:rsidP="004926E2">
      <w:pPr>
        <w:autoSpaceDE w:val="0"/>
        <w:autoSpaceDN w:val="0"/>
        <w:adjustRightInd w:val="0"/>
        <w:spacing w:line="240" w:lineRule="auto"/>
        <w:rPr>
          <w:rFonts w:cstheme="minorHAnsi"/>
          <w:color w:val="000000" w:themeColor="text1"/>
        </w:rPr>
      </w:pPr>
      <w:r w:rsidRPr="00CB6A1F">
        <w:rPr>
          <w:rFonts w:cstheme="minorHAnsi"/>
        </w:rPr>
        <w:t>To verify that the AMF inoculants (</w:t>
      </w:r>
      <w:r w:rsidRPr="00CB6A1F">
        <w:rPr>
          <w:rFonts w:cstheme="minorHAnsi"/>
          <w:i/>
          <w:iCs/>
        </w:rPr>
        <w:t>R. irregularis</w:t>
      </w:r>
      <w:r w:rsidRPr="00CB6A1F">
        <w:rPr>
          <w:rFonts w:cstheme="minorHAnsi"/>
        </w:rPr>
        <w:t xml:space="preserve"> isolates CC4, Cuba8, and DAOM 197198) established successfully, BLASTN searches (e-value of 0 and &gt;99% homology) against the MaarjAM database were done. Sequences were best matched to VTX00113 and VTX00114 and were considered as </w:t>
      </w:r>
      <w:r w:rsidRPr="00CB6A1F">
        <w:rPr>
          <w:rFonts w:cstheme="minorHAnsi"/>
          <w:i/>
          <w:iCs/>
        </w:rPr>
        <w:t>Rhizophagus irregularis</w:t>
      </w:r>
      <w:r w:rsidRPr="00CB6A1F">
        <w:rPr>
          <w:rFonts w:cstheme="minorHAnsi"/>
        </w:rPr>
        <w:t xml:space="preserve">. However, the target gene used for this study cannot distinguish among conspecifics thus, the current experimental design cannot distinguish between indigenous </w:t>
      </w:r>
      <w:r w:rsidRPr="00CB6A1F">
        <w:rPr>
          <w:rFonts w:cstheme="minorHAnsi"/>
          <w:i/>
          <w:iCs/>
        </w:rPr>
        <w:t>R. irregularis</w:t>
      </w:r>
      <w:r w:rsidRPr="00CB6A1F">
        <w:rPr>
          <w:rFonts w:cstheme="minorHAnsi"/>
        </w:rPr>
        <w:t xml:space="preserve"> and the inoculants (CC4, Cuba8, and DAOM197198), which is why we used targeted primer-probe assays to quantify inoculant abundance in my experiments.</w:t>
      </w:r>
    </w:p>
    <w:p w14:paraId="101C71FB" w14:textId="77777777" w:rsidR="004926E2" w:rsidRDefault="004926E2" w:rsidP="00C5793E">
      <w:pPr>
        <w:spacing w:after="0" w:line="240" w:lineRule="auto"/>
        <w:rPr>
          <w:rFonts w:cstheme="minorHAnsi"/>
          <w:b/>
          <w:bCs/>
        </w:rPr>
      </w:pPr>
    </w:p>
    <w:p w14:paraId="6B4AF454" w14:textId="77777777" w:rsidR="004926E2" w:rsidRDefault="004926E2" w:rsidP="00C5793E">
      <w:pPr>
        <w:spacing w:after="0" w:line="240" w:lineRule="auto"/>
        <w:rPr>
          <w:rFonts w:cstheme="minorHAnsi"/>
          <w:b/>
          <w:bCs/>
        </w:rPr>
      </w:pPr>
    </w:p>
    <w:p w14:paraId="5CC120B4" w14:textId="2E4D6C92" w:rsidR="00FD718E" w:rsidRDefault="001A04EB" w:rsidP="00C5793E">
      <w:pPr>
        <w:spacing w:after="0" w:line="240" w:lineRule="auto"/>
        <w:rPr>
          <w:rFonts w:cstheme="minorHAnsi"/>
          <w:b/>
          <w:bCs/>
        </w:rPr>
      </w:pPr>
      <w:r w:rsidRPr="001A04EB">
        <w:rPr>
          <w:rFonts w:cstheme="minorHAnsi"/>
          <w:b/>
          <w:bCs/>
        </w:rPr>
        <w:lastRenderedPageBreak/>
        <w:t>References</w:t>
      </w:r>
    </w:p>
    <w:p w14:paraId="64E33D40" w14:textId="77777777" w:rsidR="001A04EB" w:rsidRPr="001A04EB" w:rsidRDefault="001A04EB" w:rsidP="00C5793E">
      <w:pPr>
        <w:spacing w:after="0" w:line="240" w:lineRule="auto"/>
        <w:rPr>
          <w:rFonts w:cstheme="minorHAnsi"/>
          <w:b/>
          <w:bCs/>
        </w:rPr>
      </w:pPr>
    </w:p>
    <w:p w14:paraId="12AB1130" w14:textId="77777777" w:rsidR="004926E2" w:rsidRPr="004926E2" w:rsidRDefault="001A04EB" w:rsidP="004926E2">
      <w:pPr>
        <w:pStyle w:val="Bibliography"/>
        <w:rPr>
          <w:rFonts w:ascii="Calibri" w:cs="Calibri"/>
          <w:lang w:val="en-US"/>
        </w:rPr>
      </w:pPr>
      <w:r>
        <w:rPr>
          <w:rFonts w:cstheme="minorHAnsi"/>
        </w:rPr>
        <w:fldChar w:fldCharType="begin"/>
      </w:r>
      <w:r w:rsidR="004926E2">
        <w:rPr>
          <w:rFonts w:cstheme="minorHAnsi"/>
        </w:rPr>
        <w:instrText xml:space="preserve"> ADDIN ZOTERO_BIBL {"uncited":[],"omitted":[],"custom":[]} CSL_BIBLIOGRAPHY </w:instrText>
      </w:r>
      <w:r>
        <w:rPr>
          <w:rFonts w:cstheme="minorHAnsi"/>
        </w:rPr>
        <w:fldChar w:fldCharType="separate"/>
      </w:r>
      <w:r w:rsidR="004926E2" w:rsidRPr="004926E2">
        <w:rPr>
          <w:rFonts w:ascii="Calibri" w:cs="Calibri"/>
          <w:lang w:val="en-US"/>
        </w:rPr>
        <w:t>Bolyen E, Rideout JR, Dillon MR, et al (2019) Reproducible, interactive, scalable and extensible microbiome data science using QIIME 2. Nature Biotechnology 37:852–857. https://doi.org/10.1038/s41587-019-0209-9</w:t>
      </w:r>
    </w:p>
    <w:p w14:paraId="47BF14C3" w14:textId="77777777" w:rsidR="004926E2" w:rsidRPr="004926E2" w:rsidRDefault="004926E2" w:rsidP="004926E2">
      <w:pPr>
        <w:pStyle w:val="Bibliography"/>
        <w:rPr>
          <w:rFonts w:ascii="Calibri" w:cs="Calibri"/>
          <w:lang w:val="en-US"/>
        </w:rPr>
      </w:pPr>
      <w:r w:rsidRPr="004926E2">
        <w:rPr>
          <w:rFonts w:ascii="Calibri" w:cs="Calibri"/>
          <w:lang w:val="en-US"/>
        </w:rPr>
        <w:t>Callahan BJ, McMurdie PJ, Rosen MJ, et al (2016) DADA2: High-resolution sample inference from Illumina amplicon data. Nat Methods 13:581–583. https://doi.org/10.1038/nmeth.3869</w:t>
      </w:r>
    </w:p>
    <w:p w14:paraId="088C4AC5" w14:textId="77777777" w:rsidR="004926E2" w:rsidRPr="004926E2" w:rsidRDefault="004926E2" w:rsidP="004926E2">
      <w:pPr>
        <w:pStyle w:val="Bibliography"/>
        <w:rPr>
          <w:rFonts w:ascii="Calibri" w:cs="Calibri"/>
          <w:lang w:val="en-US"/>
        </w:rPr>
      </w:pPr>
      <w:r w:rsidRPr="004926E2">
        <w:rPr>
          <w:rFonts w:ascii="Calibri" w:cs="Calibri"/>
          <w:lang w:val="en-US"/>
        </w:rPr>
        <w:t>Dumbrell AJ, Ashton PD, Aziz N, et al (2011) Distinct seasonal assemblages of arbuscular mycorrhizal fungi revealed by massively parallel pyrosequencing. New Phytologist 190:794–804. https://doi.org/10.1111/j.1469-8137.2010.03636.x</w:t>
      </w:r>
    </w:p>
    <w:p w14:paraId="091D1773" w14:textId="77777777" w:rsidR="004926E2" w:rsidRPr="004926E2" w:rsidRDefault="004926E2" w:rsidP="004926E2">
      <w:pPr>
        <w:pStyle w:val="Bibliography"/>
        <w:rPr>
          <w:rFonts w:ascii="Calibri" w:cs="Calibri"/>
          <w:lang w:val="en-US"/>
        </w:rPr>
      </w:pPr>
      <w:r w:rsidRPr="004926E2">
        <w:rPr>
          <w:rFonts w:ascii="Calibri" w:cs="Calibri"/>
          <w:lang w:val="en-US"/>
        </w:rPr>
        <w:t>Egan CP, Rummel A, Kokkoris V, et al (2018) Using mock communities of arbuscular mycorrhizal fungi to evaluate fidelity associated with Illumina sequencing. FUNGAL ECOLOGY 33:52–64. https://doi.org/10.1016/j.funeco.2018.01.004</w:t>
      </w:r>
    </w:p>
    <w:p w14:paraId="3C194CE0" w14:textId="77777777" w:rsidR="004926E2" w:rsidRPr="004926E2" w:rsidRDefault="004926E2" w:rsidP="004926E2">
      <w:pPr>
        <w:pStyle w:val="Bibliography"/>
        <w:rPr>
          <w:rFonts w:ascii="Calibri" w:cs="Calibri"/>
          <w:lang w:val="en-US"/>
        </w:rPr>
      </w:pPr>
      <w:r w:rsidRPr="004926E2">
        <w:rPr>
          <w:rFonts w:ascii="Calibri" w:cs="Calibri"/>
          <w:lang w:val="en-US"/>
        </w:rPr>
        <w:t>Kokkoris V, Chagnon P-L, Yildirir G, et al (2021) Host identity influences nuclear dynamics in arbuscular mycorrhizal fungi. Current Biology 31:1531-1538.e6. https://doi.org/10.1016/j.cub.2021.01.035</w:t>
      </w:r>
    </w:p>
    <w:p w14:paraId="31A70CC3" w14:textId="77777777" w:rsidR="004926E2" w:rsidRPr="004926E2" w:rsidRDefault="004926E2" w:rsidP="004926E2">
      <w:pPr>
        <w:pStyle w:val="Bibliography"/>
        <w:rPr>
          <w:rFonts w:ascii="Calibri" w:cs="Calibri"/>
          <w:lang w:val="en-US"/>
        </w:rPr>
      </w:pPr>
      <w:r w:rsidRPr="004926E2">
        <w:rPr>
          <w:rFonts w:ascii="Calibri" w:cs="Calibri"/>
          <w:lang w:val="en-US"/>
        </w:rPr>
        <w:t>Lee J, Lee S, Young JPW (2008) Improved PCR primers for the detection and identification of arbuscular mycorrhizal fungi. FEMS Microbiol Ecol 65:339–349. https://doi.org/10.1111/j.1574-6941.2008.00531.x</w:t>
      </w:r>
    </w:p>
    <w:p w14:paraId="70A15114" w14:textId="77777777" w:rsidR="004926E2" w:rsidRPr="004926E2" w:rsidRDefault="004926E2" w:rsidP="004926E2">
      <w:pPr>
        <w:pStyle w:val="Bibliography"/>
        <w:rPr>
          <w:rFonts w:ascii="Calibri" w:cs="Calibri"/>
          <w:lang w:val="en-US"/>
        </w:rPr>
      </w:pPr>
      <w:r w:rsidRPr="004926E2">
        <w:rPr>
          <w:rFonts w:ascii="Calibri" w:cs="Calibri"/>
          <w:lang w:val="en-US"/>
        </w:rPr>
        <w:t>Öpik M, Vanatoa A, Vanatoa E, et al (2010) The online database MaarjAM reveals global and ecosystemic distribution patterns in arbuscular mycorrhizal fungi (Glomeromycota). New Phytologist 188:223–241. https://doi.org/10.1111/j.1469-8137.2010.03334.x</w:t>
      </w:r>
    </w:p>
    <w:p w14:paraId="781075C6" w14:textId="77B06DF7" w:rsidR="00C5793E" w:rsidRPr="00CB6A1F" w:rsidRDefault="001A04EB" w:rsidP="004926E2">
      <w:pPr>
        <w:pStyle w:val="Bibliography"/>
        <w:rPr>
          <w:rFonts w:cstheme="minorHAnsi"/>
        </w:rPr>
      </w:pPr>
      <w:r>
        <w:rPr>
          <w:rFonts w:cstheme="minorHAnsi"/>
        </w:rPr>
        <w:fldChar w:fldCharType="end"/>
      </w:r>
    </w:p>
    <w:sectPr w:rsidR="00C5793E" w:rsidRPr="00CB6A1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93E"/>
    <w:rsid w:val="0004343F"/>
    <w:rsid w:val="0019639A"/>
    <w:rsid w:val="001979C0"/>
    <w:rsid w:val="001A04EB"/>
    <w:rsid w:val="001C32F1"/>
    <w:rsid w:val="00300DE8"/>
    <w:rsid w:val="00434025"/>
    <w:rsid w:val="004926E2"/>
    <w:rsid w:val="005A7DBC"/>
    <w:rsid w:val="005C7246"/>
    <w:rsid w:val="00640255"/>
    <w:rsid w:val="0068489A"/>
    <w:rsid w:val="006B78E7"/>
    <w:rsid w:val="006F2825"/>
    <w:rsid w:val="008859B8"/>
    <w:rsid w:val="008A24C7"/>
    <w:rsid w:val="009522D3"/>
    <w:rsid w:val="00C11026"/>
    <w:rsid w:val="00C320F5"/>
    <w:rsid w:val="00C5793E"/>
    <w:rsid w:val="00C6557A"/>
    <w:rsid w:val="00CB6A1F"/>
    <w:rsid w:val="00D23800"/>
    <w:rsid w:val="00D77F40"/>
    <w:rsid w:val="00DB4E73"/>
    <w:rsid w:val="00E95920"/>
    <w:rsid w:val="00F125EF"/>
    <w:rsid w:val="00F82F37"/>
    <w:rsid w:val="00FD718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7D76BE41"/>
  <w15:chartTrackingRefBased/>
  <w15:docId w15:val="{01831C3E-B150-2241-AAAD-FDD25F0EA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79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579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5793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5793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5793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579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79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79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79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793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5793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5793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5793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5793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579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79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79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793E"/>
    <w:rPr>
      <w:rFonts w:eastAsiaTheme="majorEastAsia" w:cstheme="majorBidi"/>
      <w:color w:val="272727" w:themeColor="text1" w:themeTint="D8"/>
    </w:rPr>
  </w:style>
  <w:style w:type="paragraph" w:styleId="Title">
    <w:name w:val="Title"/>
    <w:basedOn w:val="Normal"/>
    <w:next w:val="Normal"/>
    <w:link w:val="TitleChar"/>
    <w:uiPriority w:val="10"/>
    <w:qFormat/>
    <w:rsid w:val="00C579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79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79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79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793E"/>
    <w:pPr>
      <w:spacing w:before="160"/>
      <w:jc w:val="center"/>
    </w:pPr>
    <w:rPr>
      <w:i/>
      <w:iCs/>
      <w:color w:val="404040" w:themeColor="text1" w:themeTint="BF"/>
    </w:rPr>
  </w:style>
  <w:style w:type="character" w:customStyle="1" w:styleId="QuoteChar">
    <w:name w:val="Quote Char"/>
    <w:basedOn w:val="DefaultParagraphFont"/>
    <w:link w:val="Quote"/>
    <w:uiPriority w:val="29"/>
    <w:rsid w:val="00C5793E"/>
    <w:rPr>
      <w:i/>
      <w:iCs/>
      <w:color w:val="404040" w:themeColor="text1" w:themeTint="BF"/>
    </w:rPr>
  </w:style>
  <w:style w:type="paragraph" w:styleId="ListParagraph">
    <w:name w:val="List Paragraph"/>
    <w:basedOn w:val="Normal"/>
    <w:uiPriority w:val="34"/>
    <w:qFormat/>
    <w:rsid w:val="00C5793E"/>
    <w:pPr>
      <w:ind w:left="720"/>
      <w:contextualSpacing/>
    </w:pPr>
  </w:style>
  <w:style w:type="character" w:styleId="IntenseEmphasis">
    <w:name w:val="Intense Emphasis"/>
    <w:basedOn w:val="DefaultParagraphFont"/>
    <w:uiPriority w:val="21"/>
    <w:qFormat/>
    <w:rsid w:val="00C5793E"/>
    <w:rPr>
      <w:i/>
      <w:iCs/>
      <w:color w:val="2F5496" w:themeColor="accent1" w:themeShade="BF"/>
    </w:rPr>
  </w:style>
  <w:style w:type="paragraph" w:styleId="IntenseQuote">
    <w:name w:val="Intense Quote"/>
    <w:basedOn w:val="Normal"/>
    <w:next w:val="Normal"/>
    <w:link w:val="IntenseQuoteChar"/>
    <w:uiPriority w:val="30"/>
    <w:qFormat/>
    <w:rsid w:val="00C579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5793E"/>
    <w:rPr>
      <w:i/>
      <w:iCs/>
      <w:color w:val="2F5496" w:themeColor="accent1" w:themeShade="BF"/>
    </w:rPr>
  </w:style>
  <w:style w:type="character" w:styleId="IntenseReference">
    <w:name w:val="Intense Reference"/>
    <w:basedOn w:val="DefaultParagraphFont"/>
    <w:uiPriority w:val="32"/>
    <w:qFormat/>
    <w:rsid w:val="00C5793E"/>
    <w:rPr>
      <w:b/>
      <w:bCs/>
      <w:smallCaps/>
      <w:color w:val="2F5496" w:themeColor="accent1" w:themeShade="BF"/>
      <w:spacing w:val="5"/>
    </w:rPr>
  </w:style>
  <w:style w:type="paragraph" w:styleId="NormalWeb">
    <w:name w:val="Normal (Web)"/>
    <w:basedOn w:val="Normal"/>
    <w:uiPriority w:val="99"/>
    <w:unhideWhenUsed/>
    <w:rsid w:val="00C5793E"/>
    <w:pPr>
      <w:spacing w:before="100" w:beforeAutospacing="1" w:after="100" w:afterAutospacing="1" w:line="240" w:lineRule="auto"/>
    </w:pPr>
    <w:rPr>
      <w:rFonts w:ascii="Times New Roman" w:eastAsia="Times New Roman" w:hAnsi="Times New Roman" w:cs="Times New Roman"/>
      <w:kern w:val="0"/>
      <w14:ligatures w14:val="none"/>
    </w:rPr>
  </w:style>
  <w:style w:type="table" w:styleId="ListTable6Colorful">
    <w:name w:val="List Table 6 Colorful"/>
    <w:basedOn w:val="TableNormal"/>
    <w:uiPriority w:val="51"/>
    <w:rsid w:val="009522D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DB4E73"/>
    <w:pPr>
      <w:spacing w:after="0" w:line="240" w:lineRule="auto"/>
      <w:jc w:val="both"/>
    </w:pPr>
    <w:rPr>
      <w:kern w:val="0"/>
      <w:sz w:val="22"/>
      <w:szCs w:val="22"/>
      <w:lang w:val="en-PH"/>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aption2">
    <w:name w:val="Caption 2"/>
    <w:basedOn w:val="Caption"/>
    <w:link w:val="Caption2Char"/>
    <w:qFormat/>
    <w:rsid w:val="00DB4E73"/>
    <w:pPr>
      <w:spacing w:after="240" w:line="276" w:lineRule="auto"/>
      <w:jc w:val="both"/>
    </w:pPr>
    <w:rPr>
      <w:rFonts w:ascii="Times New Roman" w:hAnsi="Times New Roman"/>
      <w:i w:val="0"/>
      <w:color w:val="000000" w:themeColor="text1"/>
      <w:kern w:val="0"/>
      <w:sz w:val="24"/>
      <w14:ligatures w14:val="none"/>
    </w:rPr>
  </w:style>
  <w:style w:type="character" w:customStyle="1" w:styleId="Caption2Char">
    <w:name w:val="Caption 2 Char"/>
    <w:basedOn w:val="DefaultParagraphFont"/>
    <w:link w:val="Caption2"/>
    <w:rsid w:val="00DB4E73"/>
    <w:rPr>
      <w:rFonts w:ascii="Times New Roman" w:hAnsi="Times New Roman"/>
      <w:iCs/>
      <w:color w:val="000000" w:themeColor="text1"/>
      <w:kern w:val="0"/>
      <w:szCs w:val="18"/>
      <w14:ligatures w14:val="none"/>
    </w:rPr>
  </w:style>
  <w:style w:type="paragraph" w:styleId="Caption">
    <w:name w:val="caption"/>
    <w:basedOn w:val="Normal"/>
    <w:next w:val="Normal"/>
    <w:uiPriority w:val="35"/>
    <w:semiHidden/>
    <w:unhideWhenUsed/>
    <w:qFormat/>
    <w:rsid w:val="00DB4E73"/>
    <w:pPr>
      <w:spacing w:after="200" w:line="240" w:lineRule="auto"/>
    </w:pPr>
    <w:rPr>
      <w:i/>
      <w:iCs/>
      <w:color w:val="44546A" w:themeColor="text2"/>
      <w:sz w:val="18"/>
      <w:szCs w:val="18"/>
    </w:rPr>
  </w:style>
  <w:style w:type="table" w:customStyle="1" w:styleId="PlainTable21">
    <w:name w:val="Plain Table 21"/>
    <w:basedOn w:val="TableNormal"/>
    <w:next w:val="PlainTable2"/>
    <w:uiPriority w:val="42"/>
    <w:rsid w:val="0068489A"/>
    <w:pPr>
      <w:spacing w:after="0" w:line="240" w:lineRule="auto"/>
      <w:jc w:val="both"/>
    </w:pPr>
    <w:rPr>
      <w:kern w:val="0"/>
      <w:sz w:val="22"/>
      <w:szCs w:val="22"/>
      <w:lang w:val="en-PH"/>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Bibliography">
    <w:name w:val="Bibliography"/>
    <w:basedOn w:val="Normal"/>
    <w:next w:val="Normal"/>
    <w:uiPriority w:val="37"/>
    <w:unhideWhenUsed/>
    <w:rsid w:val="001A04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13" Type="http://schemas.openxmlformats.org/officeDocument/2006/relationships/image" Target="media/image10.emf"/><Relationship Id="rId3" Type="http://schemas.openxmlformats.org/officeDocument/2006/relationships/webSettings" Target="webSettings.xml"/><Relationship Id="rId7" Type="http://schemas.openxmlformats.org/officeDocument/2006/relationships/image" Target="media/image4.emf"/><Relationship Id="rId12" Type="http://schemas.openxmlformats.org/officeDocument/2006/relationships/image" Target="media/image9.emf"/><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emf"/><Relationship Id="rId5" Type="http://schemas.openxmlformats.org/officeDocument/2006/relationships/image" Target="media/image2.png"/><Relationship Id="rId15" Type="http://schemas.openxmlformats.org/officeDocument/2006/relationships/image" Target="media/image12.jpeg"/><Relationship Id="rId10" Type="http://schemas.openxmlformats.org/officeDocument/2006/relationships/image" Target="media/image7.emf"/><Relationship Id="rId4" Type="http://schemas.openxmlformats.org/officeDocument/2006/relationships/image" Target="media/image1.emf"/><Relationship Id="rId9" Type="http://schemas.openxmlformats.org/officeDocument/2006/relationships/image" Target="media/image6.emf"/><Relationship Id="rId14"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11</Pages>
  <Words>3005</Words>
  <Characters>20831</Characters>
  <Application>Microsoft Office Word</Application>
  <DocSecurity>0</DocSecurity>
  <Lines>315</Lines>
  <Paragraphs>99</Paragraphs>
  <ScaleCrop>false</ScaleCrop>
  <HeadingPairs>
    <vt:vector size="2" baseType="variant">
      <vt:variant>
        <vt:lpstr>Title</vt:lpstr>
      </vt:variant>
      <vt:variant>
        <vt:i4>1</vt:i4>
      </vt:variant>
    </vt:vector>
  </HeadingPairs>
  <TitlesOfParts>
    <vt:vector size="1" baseType="lpstr">
      <vt:lpstr/>
    </vt:vector>
  </TitlesOfParts>
  <Company>UBC Okanagan</Company>
  <LinksUpToDate>false</LinksUpToDate>
  <CharactersWithSpaces>23737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1502 Hart,Miranda</dc:creator>
  <cp:keywords/>
  <dc:description/>
  <cp:lastModifiedBy>1502 Hart,Miranda</cp:lastModifiedBy>
  <cp:revision>16</cp:revision>
  <dcterms:created xsi:type="dcterms:W3CDTF">2026-05-04T00:44:00Z</dcterms:created>
  <dcterms:modified xsi:type="dcterms:W3CDTF">2026-05-14T17:58:00Z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zotero-version="9.0.3"&gt;&lt;session id="Kyv2RzE4"/&gt;&lt;style id="http://www.zotero.org/styles/biology-and-fertility-of-soils" hasBibliography="1" bibliographyStyleHasBeenSet="1"/&gt;&lt;prefs&gt;&lt;pref name="fieldType" value="Field"/&gt;&lt;/prefs&gt;&lt;/data&gt;</vt:lpwstr>
  </property>
</Properties>
</file>