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D21D" w14:textId="77777777" w:rsidR="001371BA" w:rsidRPr="007461C9" w:rsidRDefault="001371BA" w:rsidP="001371BA">
      <w:pPr>
        <w:spacing w:before="0" w:line="240" w:lineRule="auto"/>
        <w:rPr>
          <w:rFonts w:cs="Arial"/>
          <w:color w:val="000000" w:themeColor="text1"/>
        </w:rPr>
      </w:pPr>
      <w:r w:rsidRPr="007461C9">
        <w:rPr>
          <w:rFonts w:cs="Arial"/>
          <w:b/>
          <w:bCs/>
        </w:rPr>
        <w:t xml:space="preserve">Table 3: </w:t>
      </w:r>
      <w:r w:rsidRPr="007461C9">
        <w:rPr>
          <w:rFonts w:cs="Arial"/>
        </w:rPr>
        <w:t xml:space="preserve">Within- and </w:t>
      </w:r>
      <w:r w:rsidRPr="007461C9">
        <w:rPr>
          <w:rFonts w:cs="Arial"/>
          <w:color w:val="000000" w:themeColor="text1"/>
        </w:rPr>
        <w:t>cross-case analysis of strategies for sustainable delirium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2797"/>
        <w:gridCol w:w="2806"/>
        <w:gridCol w:w="2800"/>
        <w:gridCol w:w="2803"/>
      </w:tblGrid>
      <w:tr w:rsidR="001371BA" w:rsidRPr="007461C9" w14:paraId="1148AD1F" w14:textId="77777777" w:rsidTr="00E8102A"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14:paraId="2BD69C38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Case 1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6333E995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Case 2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14:paraId="5994DFC8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Case 3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14:paraId="3F59CFA7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Case 4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</w:tcPr>
          <w:p w14:paraId="738004E5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Cross-case analysis</w:t>
            </w:r>
          </w:p>
        </w:tc>
      </w:tr>
      <w:tr w:rsidR="001371BA" w:rsidRPr="007461C9" w14:paraId="0DA725F5" w14:textId="77777777" w:rsidTr="00E8102A"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14:paraId="2C262F57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Supporting clinicians</w:t>
            </w:r>
          </w:p>
          <w:p w14:paraId="4FF2F578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Interprofessional collaboration:</w:t>
            </w:r>
          </w:p>
          <w:p w14:paraId="36BFE6C5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0F9ED5" w:themeColor="accent4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Close IC, regular exchange</w:t>
            </w:r>
          </w:p>
          <w:p w14:paraId="7B04D5C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0F9ED5" w:themeColor="accent4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Multiplier system</w:t>
            </w:r>
          </w:p>
          <w:p w14:paraId="038B093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Work shadowing and exchange with other institutions/experts</w:t>
            </w:r>
          </w:p>
          <w:p w14:paraId="07EC700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Involved in initiative</w:t>
            </w:r>
          </w:p>
          <w:p w14:paraId="14934EA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Person-centred approach</w:t>
            </w:r>
          </w:p>
          <w:p w14:paraId="723C6142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Training:</w:t>
            </w:r>
          </w:p>
          <w:p w14:paraId="116C1AF7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Interprofessional training</w:t>
            </w:r>
          </w:p>
          <w:p w14:paraId="7B531E1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One Minute Wonders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3EB73B11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Supporting clinicians</w:t>
            </w:r>
          </w:p>
          <w:p w14:paraId="1661D0D2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Interprofessional collaboration:</w:t>
            </w:r>
          </w:p>
          <w:p w14:paraId="4194D35E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54"/>
              <w:jc w:val="left"/>
              <w:rPr>
                <w:rFonts w:cs="Arial"/>
                <w:color w:val="E97132" w:themeColor="accent2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Close IC, regular exchange</w:t>
            </w:r>
          </w:p>
          <w:p w14:paraId="057D9724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54"/>
              <w:jc w:val="left"/>
              <w:rPr>
                <w:rFonts w:cs="Arial"/>
                <w:color w:val="E97132" w:themeColor="accent2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Work shadowing by external interested parties</w:t>
            </w:r>
          </w:p>
          <w:p w14:paraId="3E1BF953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54"/>
              <w:jc w:val="left"/>
              <w:rPr>
                <w:rFonts w:cs="Arial"/>
                <w:color w:val="E97132" w:themeColor="accent2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Part of a network</w:t>
            </w:r>
          </w:p>
          <w:p w14:paraId="5238B64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Person-centred approach</w:t>
            </w:r>
          </w:p>
          <w:p w14:paraId="64B676F2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Training:</w:t>
            </w:r>
          </w:p>
          <w:p w14:paraId="46FE0CF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Interprofessional training</w:t>
            </w:r>
          </w:p>
          <w:p w14:paraId="1B450F0B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Pocket cards with delirium symptoms</w:t>
            </w:r>
          </w:p>
          <w:p w14:paraId="435ED743" w14:textId="77777777" w:rsidR="001371BA" w:rsidRPr="007461C9" w:rsidRDefault="001371BA" w:rsidP="00E8102A">
            <w:pPr>
              <w:spacing w:before="0" w:line="240" w:lineRule="auto"/>
              <w:ind w:left="32"/>
              <w:jc w:val="left"/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Communication channels:</w:t>
            </w:r>
          </w:p>
          <w:p w14:paraId="2874FD0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8" w:hanging="142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Digital consultation requests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14:paraId="2B1AFD23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Support for clinicians</w:t>
            </w:r>
          </w:p>
          <w:p w14:paraId="456DDF29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Interprofessional collaboration:</w:t>
            </w:r>
          </w:p>
          <w:p w14:paraId="2317119F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35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Development of delirium guidelines by IC</w:t>
            </w:r>
          </w:p>
          <w:p w14:paraId="470BBF8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35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Continuous awareness raising</w:t>
            </w:r>
          </w:p>
          <w:p w14:paraId="28C0664E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35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Interprofessional working group</w:t>
            </w:r>
          </w:p>
          <w:p w14:paraId="78218F41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35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Contact with external experts</w:t>
            </w:r>
          </w:p>
          <w:p w14:paraId="3A81B769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Person-centred approach</w:t>
            </w:r>
          </w:p>
          <w:p w14:paraId="1D66084B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Training:</w:t>
            </w:r>
          </w:p>
          <w:p w14:paraId="6E58F438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Internal training courses/topic inputs</w:t>
            </w:r>
          </w:p>
          <w:p w14:paraId="659DF36A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E-learning/pocket cards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14:paraId="77901913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Support for clinicians</w:t>
            </w:r>
          </w:p>
          <w:p w14:paraId="6E1ED97F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Interprofessional collaboration:</w:t>
            </w:r>
          </w:p>
          <w:p w14:paraId="308AD70C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45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Development of delirium guidelines by IC</w:t>
            </w:r>
          </w:p>
          <w:p w14:paraId="5968AF37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45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Nursing experts support BSP</w:t>
            </w:r>
          </w:p>
          <w:p w14:paraId="2016B23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45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 xml:space="preserve">Quality circles, </w:t>
            </w: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medical exchange</w:t>
            </w:r>
          </w:p>
          <w:p w14:paraId="21C09F29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45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Centralized support for BSP</w:t>
            </w:r>
          </w:p>
          <w:p w14:paraId="75A6A8EE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Training:</w:t>
            </w:r>
          </w:p>
          <w:p w14:paraId="15ABA5C7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45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Short training courses</w:t>
            </w:r>
          </w:p>
          <w:p w14:paraId="75038BBF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45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One Minute Wonders</w:t>
            </w:r>
          </w:p>
          <w:p w14:paraId="24151107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Communication channels:</w:t>
            </w:r>
          </w:p>
          <w:p w14:paraId="573B101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51" w:hanging="142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Changes to delirium guidelines via email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</w:tcPr>
          <w:p w14:paraId="0FE4EDF8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Support for clinicians</w:t>
            </w:r>
          </w:p>
          <w:p w14:paraId="5C89EBA1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Structured IC, expanded cooperation</w:t>
            </w:r>
          </w:p>
          <w:p w14:paraId="32216398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External networking and exchange of ideas</w:t>
            </w:r>
          </w:p>
          <w:p w14:paraId="45F68B78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Person-centred approach as a basic attitude</w:t>
            </w:r>
          </w:p>
          <w:p w14:paraId="1E515EDA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Practical support</w:t>
            </w:r>
          </w:p>
          <w:p w14:paraId="32B08605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Different training formats</w:t>
            </w:r>
          </w:p>
          <w:p w14:paraId="391249D4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Support materials and compact learning formats</w:t>
            </w:r>
          </w:p>
        </w:tc>
      </w:tr>
      <w:tr w:rsidR="001371BA" w:rsidRPr="007461C9" w14:paraId="5DDBE668" w14:textId="77777777" w:rsidTr="00E8102A"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14:paraId="6067D69C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BP concepts and guidelines</w:t>
            </w:r>
          </w:p>
          <w:p w14:paraId="0AA0F7C4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Delirium guidance/concept:</w:t>
            </w:r>
          </w:p>
          <w:p w14:paraId="5C4DCC8E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Instructions</w:t>
            </w:r>
          </w:p>
          <w:p w14:paraId="2FAD3FD3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Components:</w:t>
            </w:r>
          </w:p>
          <w:p w14:paraId="24764C2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Delirium screening</w:t>
            </w:r>
          </w:p>
          <w:p w14:paraId="69537CF4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Detailed patient history</w:t>
            </w:r>
          </w:p>
          <w:p w14:paraId="42ED9D38" w14:textId="77777777" w:rsidR="001371BA" w:rsidRPr="007461C9" w:rsidRDefault="001371BA" w:rsidP="00E8102A">
            <w:pPr>
              <w:pStyle w:val="ListParagraph"/>
              <w:spacing w:before="0" w:line="240" w:lineRule="auto"/>
              <w:ind w:left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(with relatives)</w:t>
            </w:r>
          </w:p>
          <w:p w14:paraId="30B53B7F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Orientation aids</w:t>
            </w:r>
          </w:p>
          <w:p w14:paraId="33B83BEC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World Delirium Day as awareness campaign</w:t>
            </w:r>
          </w:p>
          <w:p w14:paraId="3DDF9CD5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Allocation of specific roles:</w:t>
            </w:r>
          </w:p>
          <w:p w14:paraId="469077E3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Psychiatric consultation/liaison service</w:t>
            </w:r>
          </w:p>
          <w:p w14:paraId="2F54178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Dementia/delirium care team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48169A1D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BP concepts and guidelines</w:t>
            </w:r>
          </w:p>
          <w:p w14:paraId="262313BE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Delirium guidelines/concept:</w:t>
            </w:r>
          </w:p>
          <w:p w14:paraId="2AB9254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 xml:space="preserve">Care-based concept </w:t>
            </w:r>
            <w:r w:rsidRPr="007461C9">
              <w:rPr>
                <w:rFonts w:ascii="Wingdings" w:eastAsia="Wingdings" w:hAnsi="Wingdings" w:cs="Wingdings"/>
                <w:color w:val="0B769F" w:themeColor="accent4" w:themeShade="BF"/>
                <w:sz w:val="16"/>
                <w:szCs w:val="16"/>
              </w:rPr>
              <w:sym w:font="Wingdings" w:char="F0E0"/>
            </w: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 xml:space="preserve"> 1:1 connection between delirium team and patient during perioperative phase</w:t>
            </w:r>
          </w:p>
          <w:p w14:paraId="1BD72886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Components:</w:t>
            </w:r>
          </w:p>
          <w:p w14:paraId="283A647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54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Risk screening</w:t>
            </w:r>
            <w:r w:rsidRPr="007461C9">
              <w:rPr>
                <w:rFonts w:cs="Arial"/>
                <w:sz w:val="16"/>
                <w:szCs w:val="16"/>
              </w:rPr>
              <w:t xml:space="preserve">, </w:t>
            </w: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delirium screening</w:t>
            </w:r>
          </w:p>
          <w:p w14:paraId="632CDD27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54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Involvement of relatives</w:t>
            </w:r>
          </w:p>
          <w:p w14:paraId="4B2D1CA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54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Orientation aids</w:t>
            </w:r>
          </w:p>
          <w:p w14:paraId="1CB0F355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54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World Delirium Day to raise awareness</w:t>
            </w:r>
          </w:p>
          <w:p w14:paraId="4B73D45A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Allocation of specific roles:</w:t>
            </w:r>
          </w:p>
          <w:p w14:paraId="35A65DAF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54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Medical management for DM</w:t>
            </w:r>
          </w:p>
          <w:p w14:paraId="4A64C60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54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Nursing team for dementia/delirium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14:paraId="170D26DA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BP concepts and guidelines</w:t>
            </w:r>
          </w:p>
          <w:p w14:paraId="6E9830CA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Delirium guidelines/concept:</w:t>
            </w:r>
          </w:p>
          <w:p w14:paraId="5F94AD0B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Cross-departmental delirium guidelines, regular revision</w:t>
            </w:r>
          </w:p>
          <w:p w14:paraId="65BF5BFB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Components:</w:t>
            </w:r>
          </w:p>
          <w:p w14:paraId="793895FB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35"/>
              <w:jc w:val="left"/>
              <w:rPr>
                <w:rFonts w:cs="Arial"/>
                <w:color w:val="0F9ED5" w:themeColor="accent4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Delirium screening</w:t>
            </w:r>
          </w:p>
          <w:p w14:paraId="0ADEAA4F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35"/>
              <w:jc w:val="left"/>
              <w:rPr>
                <w:rFonts w:cs="Arial"/>
                <w:color w:val="0F9ED5" w:themeColor="accent4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Orientation boards</w:t>
            </w:r>
          </w:p>
          <w:p w14:paraId="1B385060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35"/>
              <w:jc w:val="left"/>
              <w:rPr>
                <w:rFonts w:cs="Arial"/>
                <w:color w:val="0F9ED5" w:themeColor="accent4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Involvement of relatives</w:t>
            </w:r>
          </w:p>
          <w:p w14:paraId="5A7024C7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35"/>
              <w:jc w:val="left"/>
              <w:rPr>
                <w:rFonts w:cs="Arial"/>
                <w:color w:val="0F9ED5" w:themeColor="accent4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Conduct of case discussions</w:t>
            </w:r>
          </w:p>
          <w:p w14:paraId="1B3FBF16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Allocation of specific roles:</w:t>
            </w:r>
          </w:p>
          <w:p w14:paraId="77926BD5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Physician: collaboration on delirium guidelines, visits to delirium patients</w:t>
            </w:r>
          </w:p>
          <w:p w14:paraId="473FB71A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Nursing experts, delirium nurse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14:paraId="7260297F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BP concepts and guidelines</w:t>
            </w:r>
          </w:p>
          <w:p w14:paraId="6E24F128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Delirium guidelines/concept:</w:t>
            </w:r>
          </w:p>
          <w:p w14:paraId="1A448DD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03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Three similar delirium guidelines depending on the area, regular revision</w:t>
            </w:r>
          </w:p>
          <w:p w14:paraId="5301F96C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Components:</w:t>
            </w:r>
          </w:p>
          <w:p w14:paraId="0DCA844C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03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Delirium screening</w:t>
            </w:r>
          </w:p>
          <w:p w14:paraId="2D4205D7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03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Involvement of relatives</w:t>
            </w:r>
          </w:p>
          <w:p w14:paraId="58E6E5B7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03" w:hanging="115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Orientation aids</w:t>
            </w:r>
          </w:p>
          <w:p w14:paraId="2D078AC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03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Conducting case discussions</w:t>
            </w:r>
          </w:p>
          <w:p w14:paraId="1564B4D7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Allocation of specific roles:</w:t>
            </w:r>
          </w:p>
          <w:p w14:paraId="537A51D4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03" w:hanging="115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Medical director DM</w:t>
            </w:r>
            <w:r w:rsidRPr="007461C9">
              <w:rPr>
                <w:rFonts w:cs="Arial"/>
                <w:sz w:val="16"/>
                <w:szCs w:val="16"/>
              </w:rPr>
              <w:t xml:space="preserve">, </w:t>
            </w: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physician consulted</w:t>
            </w:r>
          </w:p>
          <w:p w14:paraId="16A214EC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03" w:hanging="115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Nursing experts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</w:tcPr>
          <w:p w14:paraId="63097295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BP concepts and guidelines</w:t>
            </w:r>
          </w:p>
          <w:p w14:paraId="7C7D9797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Science-based creation of guidelines, developed by IC</w:t>
            </w:r>
          </w:p>
          <w:p w14:paraId="792D7769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Systematic delirium screening</w:t>
            </w:r>
          </w:p>
          <w:p w14:paraId="604AE53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Tools to promote orientation and activation</w:t>
            </w:r>
          </w:p>
          <w:p w14:paraId="34484260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Involvement of relatives</w:t>
            </w:r>
          </w:p>
          <w:p w14:paraId="53273D15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Awareness raising through World Delirium Day</w:t>
            </w:r>
          </w:p>
          <w:p w14:paraId="235F3129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Technical responsibility and management at the conceptual level</w:t>
            </w:r>
          </w:p>
          <w:p w14:paraId="15EDC644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Specialized provision of professional expertise</w:t>
            </w:r>
          </w:p>
        </w:tc>
      </w:tr>
      <w:tr w:rsidR="001371BA" w:rsidRPr="007461C9" w14:paraId="7E68F0BC" w14:textId="77777777" w:rsidTr="00E8102A"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14:paraId="58231D77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Available resources</w:t>
            </w:r>
          </w:p>
          <w:p w14:paraId="562E3778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Staff resources:</w:t>
            </w:r>
          </w:p>
          <w:p w14:paraId="4612DD3F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Specialized nurses for DM</w:t>
            </w:r>
          </w:p>
          <w:p w14:paraId="5CBE8DE1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Time resources:</w:t>
            </w:r>
          </w:p>
          <w:p w14:paraId="1555E255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One hour per patient</w:t>
            </w:r>
          </w:p>
          <w:p w14:paraId="1AD89872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Financial resources:</w:t>
            </w:r>
          </w:p>
          <w:p w14:paraId="025CFE6C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Financial support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449920C5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Available resources</w:t>
            </w:r>
          </w:p>
          <w:p w14:paraId="418AED80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Staff resources:</w:t>
            </w:r>
          </w:p>
          <w:p w14:paraId="09C6205E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Specialized nurses for DM</w:t>
            </w:r>
          </w:p>
          <w:p w14:paraId="10D479F6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Time resources:</w:t>
            </w:r>
          </w:p>
          <w:p w14:paraId="4257949B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Prioritization in cases of high complexity</w:t>
            </w:r>
          </w:p>
          <w:p w14:paraId="34ECC7AA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14:paraId="7AB497ED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Available resources</w:t>
            </w:r>
          </w:p>
          <w:p w14:paraId="7D3550C3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Staff resources:</w:t>
            </w:r>
          </w:p>
          <w:p w14:paraId="016837D0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21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Different staffing ratios depending on the area</w:t>
            </w:r>
          </w:p>
          <w:p w14:paraId="1631DA7E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21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Currently, temporary staff are frequently used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14:paraId="1197C288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Available resources</w:t>
            </w:r>
          </w:p>
          <w:p w14:paraId="060EA793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Time resources:</w:t>
            </w:r>
          </w:p>
          <w:p w14:paraId="7B3F6B28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04" w:hanging="104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No time limits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</w:tcPr>
          <w:p w14:paraId="4AFEE14B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Available resources</w:t>
            </w:r>
          </w:p>
          <w:p w14:paraId="2F15D0F1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88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Various personnel resources and job scopes</w:t>
            </w:r>
          </w:p>
          <w:p w14:paraId="72FD6718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88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Different time frames</w:t>
            </w:r>
          </w:p>
        </w:tc>
      </w:tr>
      <w:tr w:rsidR="001371BA" w:rsidRPr="007461C9" w14:paraId="38F29A1D" w14:textId="77777777" w:rsidTr="00E8102A">
        <w:trPr>
          <w:trHeight w:val="1615"/>
        </w:trPr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14:paraId="1AE86797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Evaluative and iterative strategies</w:t>
            </w:r>
          </w:p>
          <w:p w14:paraId="60DAD91B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Strategic planning:</w:t>
            </w:r>
          </w:p>
          <w:p w14:paraId="46C7C510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DM launch in 2016, 4 years of preparatory work</w:t>
            </w:r>
          </w:p>
          <w:p w14:paraId="78DFD1FF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Further development of strategies:</w:t>
            </w:r>
          </w:p>
          <w:p w14:paraId="3D882603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E-learning in planning, expansion of training courses</w:t>
            </w:r>
          </w:p>
          <w:p w14:paraId="2B271D07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Expansion to other areas planned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16916A84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Evaluative and iterative strategies</w:t>
            </w:r>
          </w:p>
          <w:p w14:paraId="63AFFCAD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Strategic planning:</w:t>
            </w:r>
          </w:p>
          <w:p w14:paraId="717D77EC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54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DM for 22 years</w:t>
            </w:r>
          </w:p>
          <w:p w14:paraId="756E9B55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Further development of strategies:</w:t>
            </w:r>
          </w:p>
          <w:p w14:paraId="2F49FCCC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4" w:hanging="154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Expansion into other areas completed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14:paraId="4473EDC2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Evaluative and iterative strategies</w:t>
            </w:r>
          </w:p>
          <w:p w14:paraId="2E75088A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Strategic planning:</w:t>
            </w:r>
          </w:p>
          <w:p w14:paraId="5AD56089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42"/>
              <w:jc w:val="left"/>
              <w:rPr>
                <w:rFonts w:cs="Arial"/>
                <w:color w:val="E97132" w:themeColor="accent2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Delirium guidance for 8 years, 2 years of preparatory work</w:t>
            </w:r>
          </w:p>
          <w:p w14:paraId="46E54FC5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Further development of strategies:</w:t>
            </w:r>
          </w:p>
          <w:p w14:paraId="663216E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3" w:hanging="135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Further concepts in planning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14:paraId="2AA569B2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Evaluative and iterative strategies</w:t>
            </w:r>
          </w:p>
          <w:p w14:paraId="26D499F9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Strategic planning:</w:t>
            </w:r>
          </w:p>
          <w:p w14:paraId="4523A3CC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45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Delirium guidance since 2007, preparatory work</w:t>
            </w:r>
          </w:p>
          <w:p w14:paraId="034FA7BF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Further development of strategies:</w:t>
            </w:r>
          </w:p>
          <w:p w14:paraId="21E30DA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45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Adjustments often derived from pilot projects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</w:tcPr>
          <w:p w14:paraId="1E905DAD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Evaluative and iterative strategies</w:t>
            </w:r>
          </w:p>
          <w:p w14:paraId="23666654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All four institutions have been operating sustainable DM for ≥ 8 years</w:t>
            </w:r>
          </w:p>
          <w:p w14:paraId="2A706C00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Preliminary work and structured concept development</w:t>
            </w:r>
          </w:p>
          <w:p w14:paraId="35EBFA6B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1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Continuous further development</w:t>
            </w:r>
          </w:p>
        </w:tc>
      </w:tr>
    </w:tbl>
    <w:p w14:paraId="4E0F09B3" w14:textId="77777777" w:rsidR="001371BA" w:rsidRPr="007461C9" w:rsidRDefault="001371BA" w:rsidP="001371BA">
      <w:pPr>
        <w:spacing w:before="0" w:line="240" w:lineRule="auto"/>
      </w:pPr>
      <w:r w:rsidRPr="007461C9">
        <w:rPr>
          <w:rFonts w:cs="Arial"/>
          <w:sz w:val="16"/>
          <w:szCs w:val="16"/>
        </w:rPr>
        <w:t xml:space="preserve">Legend: DM, delirium management; IC, interprofessional collaboration; BSP, bedside nursing professionals; BP: best practice; </w:t>
      </w:r>
      <w:r w:rsidRPr="007461C9">
        <w:rPr>
          <w:rFonts w:cs="Arial"/>
          <w:color w:val="BF4E14" w:themeColor="accent2" w:themeShade="BF"/>
          <w:sz w:val="16"/>
          <w:szCs w:val="16"/>
        </w:rPr>
        <w:t>colour= statement by nursing interview participants</w:t>
      </w:r>
      <w:r w:rsidRPr="007461C9">
        <w:rPr>
          <w:rFonts w:cs="Arial"/>
          <w:sz w:val="16"/>
          <w:szCs w:val="16"/>
        </w:rPr>
        <w:t>;</w:t>
      </w:r>
      <w:r w:rsidRPr="007461C9">
        <w:rPr>
          <w:rFonts w:cs="Arial"/>
          <w:color w:val="BF4E14" w:themeColor="accent2" w:themeShade="BF"/>
          <w:sz w:val="16"/>
          <w:szCs w:val="16"/>
        </w:rPr>
        <w:t xml:space="preserve"> </w:t>
      </w:r>
      <w:r w:rsidRPr="007461C9">
        <w:rPr>
          <w:rFonts w:cs="Arial"/>
          <w:color w:val="3A7C22" w:themeColor="accent6" w:themeShade="BF"/>
          <w:sz w:val="16"/>
          <w:szCs w:val="16"/>
        </w:rPr>
        <w:t>colour= statement by medical interview participants</w:t>
      </w:r>
      <w:r w:rsidRPr="007461C9">
        <w:rPr>
          <w:rFonts w:cs="Arial"/>
          <w:sz w:val="16"/>
          <w:szCs w:val="16"/>
        </w:rPr>
        <w:t>;</w:t>
      </w:r>
      <w:r w:rsidRPr="007461C9">
        <w:rPr>
          <w:rFonts w:cs="Arial"/>
          <w:color w:val="3A7C22" w:themeColor="accent6" w:themeShade="BF"/>
          <w:sz w:val="16"/>
          <w:szCs w:val="16"/>
        </w:rPr>
        <w:t xml:space="preserve"> </w:t>
      </w:r>
      <w:r w:rsidRPr="007461C9">
        <w:rPr>
          <w:rFonts w:cs="Arial"/>
          <w:color w:val="0B769F" w:themeColor="accent4" w:themeShade="BF"/>
          <w:sz w:val="16"/>
          <w:szCs w:val="16"/>
        </w:rPr>
        <w:t>colour= statement by nursing and medical interview participants</w:t>
      </w:r>
    </w:p>
    <w:p w14:paraId="31F3F697" w14:textId="77777777" w:rsidR="001371BA" w:rsidRPr="007461C9" w:rsidRDefault="001371BA" w:rsidP="001371BA">
      <w:pPr>
        <w:spacing w:before="0" w:line="360" w:lineRule="auto"/>
        <w:sectPr w:rsidR="001371BA" w:rsidRPr="007461C9" w:rsidSect="001371BA">
          <w:pgSz w:w="16838" w:h="11906" w:orient="landscape"/>
          <w:pgMar w:top="1417" w:right="1417" w:bottom="1134" w:left="1417" w:header="709" w:footer="709" w:gutter="0"/>
          <w:cols w:space="708"/>
          <w:docGrid w:linePitch="360"/>
        </w:sectPr>
      </w:pPr>
    </w:p>
    <w:p w14:paraId="0026C8D9" w14:textId="77777777" w:rsidR="001371BA" w:rsidRPr="007461C9" w:rsidRDefault="001371BA" w:rsidP="001371BA">
      <w:pPr>
        <w:spacing w:before="0" w:line="240" w:lineRule="auto"/>
        <w:rPr>
          <w:rFonts w:cs="Arial"/>
        </w:rPr>
      </w:pPr>
      <w:r w:rsidRPr="007461C9">
        <w:rPr>
          <w:rFonts w:cs="Arial"/>
          <w:b/>
          <w:bCs/>
        </w:rPr>
        <w:lastRenderedPageBreak/>
        <w:t xml:space="preserve">Table 4: </w:t>
      </w:r>
      <w:r w:rsidRPr="007461C9">
        <w:rPr>
          <w:rFonts w:cs="Arial"/>
        </w:rPr>
        <w:t>Within- and cross-case analysis of factors promoting and hindering sustainable delirium management</w:t>
      </w:r>
    </w:p>
    <w:tbl>
      <w:tblPr>
        <w:tblStyle w:val="TableGrid"/>
        <w:tblW w:w="14317" w:type="dxa"/>
        <w:tblLook w:val="04A0" w:firstRow="1" w:lastRow="0" w:firstColumn="1" w:lastColumn="0" w:noHBand="0" w:noVBand="1"/>
      </w:tblPr>
      <w:tblGrid>
        <w:gridCol w:w="2801"/>
        <w:gridCol w:w="2796"/>
        <w:gridCol w:w="2908"/>
        <w:gridCol w:w="2835"/>
        <w:gridCol w:w="2977"/>
      </w:tblGrid>
      <w:tr w:rsidR="001371BA" w:rsidRPr="007461C9" w14:paraId="17BFB197" w14:textId="77777777" w:rsidTr="00E8102A"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6AF3E64D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Case 1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14:paraId="29D6FE07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Case 2</w:t>
            </w:r>
          </w:p>
        </w:tc>
        <w:tc>
          <w:tcPr>
            <w:tcW w:w="2908" w:type="dxa"/>
            <w:tcBorders>
              <w:top w:val="single" w:sz="4" w:space="0" w:color="auto"/>
              <w:bottom w:val="single" w:sz="4" w:space="0" w:color="auto"/>
            </w:tcBorders>
          </w:tcPr>
          <w:p w14:paraId="37DC238B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Case 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34C4C89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Case 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120F0B8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Cross-case analysis</w:t>
            </w:r>
          </w:p>
        </w:tc>
      </w:tr>
      <w:tr w:rsidR="001371BA" w:rsidRPr="007461C9" w14:paraId="06B74CFA" w14:textId="77777777" w:rsidTr="00E8102A"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300CB351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Supporting clinicians</w:t>
            </w:r>
          </w:p>
          <w:p w14:paraId="7247EC83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Interprofessional collaboration:</w:t>
            </w:r>
          </w:p>
          <w:p w14:paraId="4C493F5F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F: Close IC</w:t>
            </w:r>
            <w:r w:rsidRPr="007461C9">
              <w:rPr>
                <w:rFonts w:cs="Arial"/>
                <w:sz w:val="16"/>
                <w:szCs w:val="16"/>
              </w:rPr>
              <w:t xml:space="preserve">, </w:t>
            </w: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active request for BSP</w:t>
            </w:r>
          </w:p>
          <w:p w14:paraId="3110FB00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F: Work shadowing and exchange with other institutions/individuals</w:t>
            </w:r>
          </w:p>
          <w:p w14:paraId="737A0085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F: Support from management level</w:t>
            </w:r>
          </w:p>
          <w:p w14:paraId="2A72E02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H: Change in clinic/ward management</w:t>
            </w:r>
          </w:p>
          <w:p w14:paraId="140D4EE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 xml:space="preserve">H: Initial mistrust </w:t>
            </w:r>
            <w:proofErr w:type="gramStart"/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of  dementia</w:t>
            </w:r>
            <w:proofErr w:type="gramEnd"/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/delirium team</w:t>
            </w:r>
          </w:p>
          <w:p w14:paraId="5D987929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H: Different weighting of the topic</w:t>
            </w:r>
          </w:p>
          <w:p w14:paraId="3D6D0F28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Training</w:t>
            </w:r>
          </w:p>
          <w:p w14:paraId="1BEB55A3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F: Interprofessional target group</w:t>
            </w:r>
          </w:p>
          <w:p w14:paraId="2E411B78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H: Difficult to motivate medical staff to participate in training</w:t>
            </w:r>
          </w:p>
          <w:p w14:paraId="12C7887D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Communication channels:</w:t>
            </w:r>
          </w:p>
          <w:p w14:paraId="0BCBD83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F: Own intranet area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14:paraId="263351D0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Supporting clinicians</w:t>
            </w:r>
          </w:p>
          <w:p w14:paraId="19D64E24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Interprofessional collaboration:</w:t>
            </w:r>
          </w:p>
          <w:p w14:paraId="4D8069AF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1" w:hanging="154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Gratitude for expertise of the dementia/delirium team</w:t>
            </w:r>
          </w:p>
          <w:p w14:paraId="526337AA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1" w:hanging="154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Support from management</w:t>
            </w:r>
          </w:p>
          <w:p w14:paraId="435B4D79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1" w:hanging="154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 xml:space="preserve">H: Partial lack of knowledge among employees </w:t>
            </w:r>
            <w:proofErr w:type="gramStart"/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on the subject of delirium</w:t>
            </w:r>
            <w:proofErr w:type="gramEnd"/>
          </w:p>
          <w:p w14:paraId="20B7F73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1" w:hanging="154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Partial lack of acceptance/appreciation of dementia/delirium team</w:t>
            </w:r>
          </w:p>
          <w:p w14:paraId="4C9303A4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Training:</w:t>
            </w:r>
          </w:p>
          <w:p w14:paraId="3EFF998C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1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 xml:space="preserve">F: </w:t>
            </w:r>
            <w:proofErr w:type="spellStart"/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Interprofessionality</w:t>
            </w:r>
            <w:proofErr w:type="spellEnd"/>
          </w:p>
          <w:p w14:paraId="6EB26A1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1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H: Designing training content that is appealing to all areas</w:t>
            </w:r>
          </w:p>
        </w:tc>
        <w:tc>
          <w:tcPr>
            <w:tcW w:w="2908" w:type="dxa"/>
            <w:tcBorders>
              <w:top w:val="single" w:sz="4" w:space="0" w:color="auto"/>
              <w:bottom w:val="single" w:sz="4" w:space="0" w:color="auto"/>
            </w:tcBorders>
          </w:tcPr>
          <w:p w14:paraId="4D9C290D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Support for clinicians</w:t>
            </w:r>
          </w:p>
          <w:p w14:paraId="7ADFC2F1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Interprofessional collaboration:</w:t>
            </w:r>
          </w:p>
          <w:p w14:paraId="754694FA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06" w:hanging="13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IC accepted as a fundamental principle</w:t>
            </w:r>
          </w:p>
          <w:p w14:paraId="2FCE3DB9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06" w:hanging="13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Tensions between professional groups during the development of delirium guidelines</w:t>
            </w:r>
          </w:p>
          <w:p w14:paraId="1622A24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06" w:hanging="13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Difficulties coordinating appointments</w:t>
            </w:r>
          </w:p>
          <w:p w14:paraId="49B81685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06" w:hanging="135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H: Overwork and fatigue</w:t>
            </w:r>
          </w:p>
          <w:p w14:paraId="3644C3E9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Training:</w:t>
            </w:r>
          </w:p>
          <w:p w14:paraId="071C821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06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Difficulty in motivating employees on this topic in the long term</w:t>
            </w:r>
          </w:p>
          <w:p w14:paraId="6BB7418F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06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Perception of e-learning as too much effort</w:t>
            </w:r>
          </w:p>
          <w:p w14:paraId="705AF44C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Communication channels:</w:t>
            </w:r>
          </w:p>
          <w:p w14:paraId="6C5AF06F" w14:textId="77777777" w:rsidR="001371BA" w:rsidRPr="004C1F91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15" w:hanging="142"/>
              <w:jc w:val="left"/>
              <w:rPr>
                <w:rFonts w:cs="Arial"/>
                <w:b/>
                <w:bCs/>
                <w:sz w:val="16"/>
                <w:szCs w:val="16"/>
                <w:lang w:val="de-CH"/>
              </w:rPr>
            </w:pPr>
            <w:r w:rsidRPr="004C1F91">
              <w:rPr>
                <w:rFonts w:cs="Arial"/>
                <w:color w:val="BF4E14" w:themeColor="accent2" w:themeShade="BF"/>
                <w:sz w:val="16"/>
                <w:szCs w:val="16"/>
                <w:lang w:val="de-CH"/>
              </w:rPr>
              <w:t>H: Change in information system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7C6B0A8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Supporting clinicians</w:t>
            </w:r>
          </w:p>
          <w:p w14:paraId="1C74113F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Interprofessional collaboration:</w:t>
            </w:r>
          </w:p>
          <w:p w14:paraId="2BC66D3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28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Exchange with other institutions/external nursing experts when creating delirium guidelines</w:t>
            </w:r>
          </w:p>
          <w:p w14:paraId="76597E58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28" w:hanging="115"/>
              <w:jc w:val="left"/>
              <w:rPr>
                <w:rFonts w:cs="Arial"/>
                <w:color w:val="E97132" w:themeColor="accent2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Regular exchange among nursing experts</w:t>
            </w:r>
          </w:p>
          <w:p w14:paraId="6250F738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28" w:hanging="115"/>
              <w:jc w:val="left"/>
              <w:rPr>
                <w:rFonts w:cs="Arial"/>
                <w:color w:val="E97132" w:themeColor="accent2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H: Partial lack of competence/knowledge among employees in dealing with patients with delirium</w:t>
            </w:r>
          </w:p>
          <w:p w14:paraId="572905EB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28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Fatigue among nursing staff regarding delirium</w:t>
            </w:r>
          </w:p>
          <w:p w14:paraId="5BD4FBC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28" w:hanging="115"/>
              <w:jc w:val="left"/>
              <w:rPr>
                <w:rFonts w:cs="Arial"/>
                <w:color w:val="E97132" w:themeColor="accent2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Changing assistant physicians</w:t>
            </w:r>
          </w:p>
          <w:p w14:paraId="14CB3731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Communication channels:</w:t>
            </w:r>
          </w:p>
          <w:p w14:paraId="531113F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88" w:hanging="142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Changes are often not read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138ABCC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Support for clinicians</w:t>
            </w:r>
          </w:p>
          <w:p w14:paraId="0623979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21" w:hanging="121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F: Functioning IC</w:t>
            </w:r>
          </w:p>
          <w:p w14:paraId="1E7C2818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21" w:hanging="121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F: External exchange</w:t>
            </w:r>
          </w:p>
          <w:p w14:paraId="1C1AF431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21" w:hanging="121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F: Support from management</w:t>
            </w:r>
          </w:p>
          <w:p w14:paraId="5116BC9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21" w:hanging="121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H: Different attitudes and priorities</w:t>
            </w:r>
          </w:p>
          <w:p w14:paraId="704EB171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21" w:hanging="121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H: Resistance and lack of knowledge</w:t>
            </w:r>
          </w:p>
          <w:p w14:paraId="15FA3729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21" w:hanging="121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H: Overwork and exhaustion among employees</w:t>
            </w:r>
          </w:p>
          <w:p w14:paraId="3B22E428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21" w:hanging="121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F: Interprofessional orientation of training courses</w:t>
            </w:r>
          </w:p>
          <w:p w14:paraId="44979837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21" w:hanging="121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 xml:space="preserve">H: Difficult accessibility/acceptance of certain professional groups </w:t>
            </w:r>
            <w:proofErr w:type="gramStart"/>
            <w:r w:rsidRPr="007461C9">
              <w:rPr>
                <w:rFonts w:cs="Arial"/>
                <w:sz w:val="16"/>
                <w:szCs w:val="16"/>
              </w:rPr>
              <w:t>with regard to</w:t>
            </w:r>
            <w:proofErr w:type="gramEnd"/>
            <w:r w:rsidRPr="007461C9">
              <w:rPr>
                <w:rFonts w:cs="Arial"/>
                <w:sz w:val="16"/>
                <w:szCs w:val="16"/>
              </w:rPr>
              <w:t xml:space="preserve"> training/innovative learning formats</w:t>
            </w:r>
          </w:p>
        </w:tc>
      </w:tr>
      <w:tr w:rsidR="001371BA" w:rsidRPr="007461C9" w14:paraId="69C43215" w14:textId="77777777" w:rsidTr="00E8102A"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4110C1E0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BP concepts and guidelines</w:t>
            </w:r>
          </w:p>
          <w:p w14:paraId="3AEA8AE9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Delirium guidelines/concept:</w:t>
            </w:r>
          </w:p>
          <w:p w14:paraId="52DFF2FF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F: Instructions on the intranet</w:t>
            </w:r>
          </w:p>
          <w:p w14:paraId="7479FF1E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H: Long consensus-building process</w:t>
            </w:r>
          </w:p>
          <w:p w14:paraId="073D23FA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Components:</w:t>
            </w:r>
          </w:p>
          <w:p w14:paraId="4F99EDE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F: Participation in point prevalence measurement</w:t>
            </w:r>
          </w:p>
          <w:p w14:paraId="5F47DC8E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Early involvement of patients</w:t>
            </w:r>
          </w:p>
          <w:p w14:paraId="62E50B2D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Allocation of specific roles:</w:t>
            </w:r>
          </w:p>
          <w:p w14:paraId="07EAA427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Specialization in dementia/delirium</w:t>
            </w:r>
          </w:p>
          <w:p w14:paraId="4FA827BC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Support from nursing management</w:t>
            </w:r>
          </w:p>
          <w:p w14:paraId="010940A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F: Greater confidence in action through professionalization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14:paraId="5B01E29D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BP concepts and guidelines</w:t>
            </w:r>
          </w:p>
          <w:p w14:paraId="725F97B8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Delirium guidelines/concept:</w:t>
            </w:r>
          </w:p>
          <w:p w14:paraId="584C6EB8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1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Automated registration upon patient readmission</w:t>
            </w:r>
          </w:p>
          <w:p w14:paraId="074072DF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Allocation of specific roles:</w:t>
            </w:r>
          </w:p>
          <w:p w14:paraId="4E838950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1" w:hanging="154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Specialization in dementia/delirium</w:t>
            </w:r>
          </w:p>
          <w:p w14:paraId="273793A9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1" w:hanging="154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F: Mixed team complements each other well</w:t>
            </w:r>
          </w:p>
        </w:tc>
        <w:tc>
          <w:tcPr>
            <w:tcW w:w="2908" w:type="dxa"/>
            <w:tcBorders>
              <w:top w:val="single" w:sz="4" w:space="0" w:color="auto"/>
              <w:bottom w:val="single" w:sz="4" w:space="0" w:color="auto"/>
            </w:tcBorders>
          </w:tcPr>
          <w:p w14:paraId="1A288CD1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BP concepts and guidelines</w:t>
            </w:r>
          </w:p>
          <w:p w14:paraId="20AF0046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Delirium guidelines/concept:</w:t>
            </w:r>
          </w:p>
          <w:p w14:paraId="74AA48CE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06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F: Practical guidelines</w:t>
            </w:r>
          </w:p>
          <w:p w14:paraId="43B7FCB3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06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Implementation difficult in all areas</w:t>
            </w:r>
          </w:p>
          <w:p w14:paraId="04662E3B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06" w:hanging="142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Other topics also important</w:t>
            </w:r>
          </w:p>
          <w:p w14:paraId="5F0840AF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Components:</w:t>
            </w:r>
          </w:p>
          <w:p w14:paraId="5AA65CB4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06" w:hanging="135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H: Frequent patient transfers</w:t>
            </w:r>
          </w:p>
          <w:p w14:paraId="3B3F4B25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Allocation of specific roles:</w:t>
            </w:r>
          </w:p>
          <w:p w14:paraId="0632978C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06" w:hanging="13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Experience of nursing expert in drawing up instructions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DEC85D0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BP concepts and guidelines</w:t>
            </w:r>
          </w:p>
          <w:p w14:paraId="55D65FFE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Delirium instructions/concept:</w:t>
            </w:r>
          </w:p>
          <w:p w14:paraId="1C2D6E8A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35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Used daily</w:t>
            </w:r>
          </w:p>
          <w:p w14:paraId="15F660C1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35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Documentation of adjustments to instructions</w:t>
            </w:r>
          </w:p>
          <w:p w14:paraId="27EA7D91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35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Awareness among employees</w:t>
            </w:r>
          </w:p>
          <w:p w14:paraId="69DFF904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35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Delirium guidelines on the intranet</w:t>
            </w:r>
          </w:p>
          <w:p w14:paraId="50610A6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35" w:hanging="115"/>
              <w:jc w:val="left"/>
              <w:rPr>
                <w:rFonts w:cs="Arial"/>
                <w:color w:val="BF4E14" w:themeColor="accent2" w:themeShade="BF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Different instructions</w:t>
            </w:r>
          </w:p>
          <w:p w14:paraId="35D83C13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Components:</w:t>
            </w:r>
          </w:p>
          <w:p w14:paraId="43858303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35" w:hanging="115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H: Uncertainty about consistent application of delirium screening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3FFE952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BP concepts and guidelines</w:t>
            </w:r>
          </w:p>
          <w:p w14:paraId="3BA6E9D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28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F: Digital availability and suitability of instructions for everyday use</w:t>
            </w:r>
          </w:p>
          <w:p w14:paraId="0D65010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28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F: Practice-oriented development</w:t>
            </w:r>
          </w:p>
          <w:p w14:paraId="76E4ED9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28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H: Structural barriers</w:t>
            </w:r>
          </w:p>
          <w:p w14:paraId="477B8C5A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28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F: Success factor in specialization/experience of specific roles</w:t>
            </w:r>
          </w:p>
        </w:tc>
      </w:tr>
      <w:tr w:rsidR="001371BA" w:rsidRPr="007461C9" w14:paraId="62EBDEAF" w14:textId="77777777" w:rsidTr="00E8102A"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26C24438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Available resources</w:t>
            </w:r>
          </w:p>
          <w:p w14:paraId="05BFE41A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Human resources:</w:t>
            </w:r>
          </w:p>
          <w:p w14:paraId="2D9E5F10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Additional employment</w:t>
            </w:r>
          </w:p>
          <w:p w14:paraId="2FB1A355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Time resources:</w:t>
            </w:r>
          </w:p>
          <w:p w14:paraId="4CD3C86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after="120" w:line="240" w:lineRule="auto"/>
              <w:ind w:left="142" w:hanging="142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H: No additional time resources received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14:paraId="73BBC6B2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Available resources</w:t>
            </w:r>
          </w:p>
          <w:p w14:paraId="05C28C1C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Human resources:</w:t>
            </w:r>
          </w:p>
          <w:p w14:paraId="1385C1F3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7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Limited staff resources</w:t>
            </w:r>
          </w:p>
          <w:p w14:paraId="0D6E4E7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7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Staff turnover</w:t>
            </w:r>
          </w:p>
        </w:tc>
        <w:tc>
          <w:tcPr>
            <w:tcW w:w="2908" w:type="dxa"/>
            <w:tcBorders>
              <w:top w:val="single" w:sz="4" w:space="0" w:color="auto"/>
              <w:bottom w:val="single" w:sz="4" w:space="0" w:color="auto"/>
            </w:tcBorders>
          </w:tcPr>
          <w:p w14:paraId="5BC4CDC5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Available resources</w:t>
            </w:r>
          </w:p>
          <w:p w14:paraId="2816F4A8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Human resources:</w:t>
            </w:r>
          </w:p>
          <w:p w14:paraId="13B48EB3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06" w:hanging="142"/>
              <w:jc w:val="left"/>
              <w:rPr>
                <w:rFonts w:cs="Arial"/>
                <w:color w:val="0B769F" w:themeColor="accent4" w:themeShade="BF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H: Staff turnover</w:t>
            </w:r>
          </w:p>
          <w:p w14:paraId="10D32F50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Financial resources:</w:t>
            </w:r>
          </w:p>
          <w:p w14:paraId="10CAD214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after="120" w:line="240" w:lineRule="auto"/>
              <w:ind w:left="212" w:hanging="142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H: Cost-cutting pressure on the institution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FE9FDB7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Available resources</w:t>
            </w:r>
          </w:p>
          <w:p w14:paraId="5EB73503" w14:textId="77777777" w:rsidR="001371BA" w:rsidRPr="007461C9" w:rsidRDefault="001371BA" w:rsidP="00E8102A">
            <w:pPr>
              <w:spacing w:before="0" w:line="240" w:lineRule="auto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Time resources:</w:t>
            </w:r>
          </w:p>
          <w:p w14:paraId="3579A4A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after="120" w:line="240" w:lineRule="auto"/>
              <w:ind w:left="284" w:hanging="142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H: No time for comprehensive delirium rounds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6ADADF3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Available resources</w:t>
            </w:r>
          </w:p>
          <w:p w14:paraId="1FF7079D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after="120" w:line="240" w:lineRule="auto"/>
              <w:ind w:left="147" w:hanging="142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Time and staff resources are crucial</w:t>
            </w:r>
          </w:p>
        </w:tc>
      </w:tr>
      <w:tr w:rsidR="001371BA" w:rsidRPr="007461C9" w14:paraId="2CBB5A62" w14:textId="77777777" w:rsidTr="00E8102A"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0DCAD8D0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Evaluative and iterative strategies</w:t>
            </w:r>
          </w:p>
          <w:p w14:paraId="39EC52FE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Strategic planning:</w:t>
            </w:r>
          </w:p>
          <w:p w14:paraId="3A38B34A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0F9ED5" w:themeColor="accent4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 xml:space="preserve">F: </w:t>
            </w:r>
            <w:proofErr w:type="spellStart"/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Supraregional</w:t>
            </w:r>
            <w:proofErr w:type="spellEnd"/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 xml:space="preserve"> initiative</w:t>
            </w:r>
          </w:p>
          <w:p w14:paraId="2C42EFA2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H: Long development process</w:t>
            </w:r>
          </w:p>
          <w:p w14:paraId="1EEFD3D9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Further development of strategies:</w:t>
            </w:r>
          </w:p>
          <w:p w14:paraId="719EF5EF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42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0B769F" w:themeColor="accent4" w:themeShade="BF"/>
                <w:sz w:val="16"/>
                <w:szCs w:val="16"/>
              </w:rPr>
              <w:t>F: Digitization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14:paraId="7A4DC450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Evaluative and iterative strategies</w:t>
            </w:r>
          </w:p>
          <w:p w14:paraId="14711FE2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Further development of strategies:</w:t>
            </w:r>
          </w:p>
          <w:p w14:paraId="52E0ED74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71" w:hanging="154"/>
              <w:jc w:val="left"/>
              <w:rPr>
                <w:rFonts w:cs="Arial"/>
                <w:color w:val="3A7C22" w:themeColor="accent6" w:themeShade="BF"/>
                <w:sz w:val="16"/>
                <w:szCs w:val="16"/>
              </w:rPr>
            </w:pPr>
            <w:r w:rsidRPr="007461C9">
              <w:rPr>
                <w:rFonts w:cs="Arial"/>
                <w:color w:val="3A7C22" w:themeColor="accent6" w:themeShade="BF"/>
                <w:sz w:val="16"/>
                <w:szCs w:val="16"/>
              </w:rPr>
              <w:t>F: Adoption of proven structures</w:t>
            </w:r>
          </w:p>
        </w:tc>
        <w:tc>
          <w:tcPr>
            <w:tcW w:w="2908" w:type="dxa"/>
            <w:tcBorders>
              <w:top w:val="single" w:sz="4" w:space="0" w:color="auto"/>
              <w:bottom w:val="single" w:sz="4" w:space="0" w:color="auto"/>
            </w:tcBorders>
          </w:tcPr>
          <w:p w14:paraId="1A025881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Evaluative and iterative strategies</w:t>
            </w:r>
          </w:p>
          <w:p w14:paraId="670A0CC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06" w:hanging="142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9905D0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Evaluative and iterative strategies</w:t>
            </w:r>
          </w:p>
          <w:p w14:paraId="1480B609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7461C9">
              <w:rPr>
                <w:rFonts w:cs="Arial"/>
                <w:i/>
                <w:iCs/>
                <w:sz w:val="16"/>
                <w:szCs w:val="16"/>
              </w:rPr>
              <w:t>Further development strategies:</w:t>
            </w:r>
          </w:p>
          <w:p w14:paraId="28D436F6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235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color w:val="BF4E14" w:themeColor="accent2" w:themeShade="BF"/>
                <w:sz w:val="16"/>
                <w:szCs w:val="16"/>
              </w:rPr>
              <w:t>F: Test phases beneficial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04D3DFA" w14:textId="77777777" w:rsidR="001371BA" w:rsidRPr="007461C9" w:rsidRDefault="001371BA" w:rsidP="00E8102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461C9">
              <w:rPr>
                <w:rFonts w:cs="Arial"/>
                <w:b/>
                <w:bCs/>
                <w:sz w:val="16"/>
                <w:szCs w:val="16"/>
              </w:rPr>
              <w:t>Evaluative and iterative strategies</w:t>
            </w:r>
          </w:p>
          <w:p w14:paraId="5E4F8C04" w14:textId="77777777" w:rsidR="001371BA" w:rsidRPr="007461C9" w:rsidRDefault="001371BA" w:rsidP="001371BA">
            <w:pPr>
              <w:pStyle w:val="ListParagraph"/>
              <w:numPr>
                <w:ilvl w:val="0"/>
                <w:numId w:val="1"/>
              </w:numPr>
              <w:spacing w:before="0" w:line="240" w:lineRule="auto"/>
              <w:ind w:left="128" w:hanging="142"/>
              <w:jc w:val="left"/>
              <w:rPr>
                <w:rFonts w:cs="Arial"/>
                <w:sz w:val="16"/>
                <w:szCs w:val="16"/>
              </w:rPr>
            </w:pPr>
            <w:r w:rsidRPr="007461C9">
              <w:rPr>
                <w:rFonts w:cs="Arial"/>
                <w:sz w:val="16"/>
                <w:szCs w:val="16"/>
              </w:rPr>
              <w:t>Long-term planning and ongoing development support sustainability</w:t>
            </w:r>
          </w:p>
        </w:tc>
      </w:tr>
    </w:tbl>
    <w:p w14:paraId="2A872EC8" w14:textId="77777777" w:rsidR="001371BA" w:rsidRPr="007461C9" w:rsidRDefault="001371BA" w:rsidP="001371BA">
      <w:pPr>
        <w:spacing w:before="0" w:line="240" w:lineRule="auto"/>
        <w:jc w:val="left"/>
        <w:sectPr w:rsidR="001371BA" w:rsidRPr="007461C9" w:rsidSect="001371BA">
          <w:headerReference w:type="default" r:id="rId5"/>
          <w:footerReference w:type="default" r:id="rId6"/>
          <w:pgSz w:w="16838" w:h="11906" w:orient="landscape"/>
          <w:pgMar w:top="1417" w:right="1417" w:bottom="1134" w:left="1417" w:header="709" w:footer="709" w:gutter="0"/>
          <w:cols w:space="708"/>
          <w:docGrid w:linePitch="360"/>
        </w:sectPr>
      </w:pPr>
      <w:r w:rsidRPr="007461C9">
        <w:rPr>
          <w:rFonts w:cs="Arial"/>
          <w:sz w:val="16"/>
          <w:szCs w:val="16"/>
        </w:rPr>
        <w:t xml:space="preserve">Legend: F, facilitating factors; H, hindering factors; DM, delirium management; IC, interprofessional collaboration; BSP, bedside nursing professionals; BP, best practice; </w:t>
      </w:r>
      <w:r w:rsidRPr="007461C9">
        <w:rPr>
          <w:rFonts w:cs="Arial"/>
          <w:color w:val="BF4E14" w:themeColor="accent2" w:themeShade="BF"/>
          <w:sz w:val="16"/>
          <w:szCs w:val="16"/>
        </w:rPr>
        <w:t>colour = statement by nursing interview participants</w:t>
      </w:r>
      <w:r w:rsidRPr="007461C9">
        <w:rPr>
          <w:rFonts w:cs="Arial"/>
          <w:sz w:val="16"/>
          <w:szCs w:val="16"/>
        </w:rPr>
        <w:t>;</w:t>
      </w:r>
      <w:r w:rsidRPr="007461C9">
        <w:rPr>
          <w:rFonts w:cs="Arial"/>
          <w:color w:val="BF4E14" w:themeColor="accent2" w:themeShade="BF"/>
          <w:sz w:val="16"/>
          <w:szCs w:val="16"/>
        </w:rPr>
        <w:t xml:space="preserve"> </w:t>
      </w:r>
      <w:r w:rsidRPr="007461C9">
        <w:rPr>
          <w:rFonts w:cs="Arial"/>
          <w:color w:val="3A7C22" w:themeColor="accent6" w:themeShade="BF"/>
          <w:sz w:val="16"/>
          <w:szCs w:val="16"/>
        </w:rPr>
        <w:t>colour = statement by medical interview participants</w:t>
      </w:r>
      <w:r w:rsidRPr="007461C9">
        <w:rPr>
          <w:rFonts w:cs="Arial"/>
          <w:sz w:val="16"/>
          <w:szCs w:val="16"/>
        </w:rPr>
        <w:t>;</w:t>
      </w:r>
      <w:r w:rsidRPr="007461C9">
        <w:rPr>
          <w:rFonts w:cs="Arial"/>
          <w:color w:val="3A7C22" w:themeColor="accent6" w:themeShade="BF"/>
          <w:sz w:val="16"/>
          <w:szCs w:val="16"/>
        </w:rPr>
        <w:t xml:space="preserve"> </w:t>
      </w:r>
      <w:r w:rsidRPr="007461C9">
        <w:rPr>
          <w:rFonts w:cs="Arial"/>
          <w:color w:val="0B769F" w:themeColor="accent4" w:themeShade="BF"/>
          <w:sz w:val="16"/>
          <w:szCs w:val="16"/>
        </w:rPr>
        <w:t>colour = statement by nursing and medical interview participants</w:t>
      </w:r>
    </w:p>
    <w:p w14:paraId="4053ECA1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9495806"/>
      <w:docPartObj>
        <w:docPartGallery w:val="Page Numbers (Bottom of Page)"/>
        <w:docPartUnique/>
      </w:docPartObj>
    </w:sdtPr>
    <w:sdtContent>
      <w:p w14:paraId="6E03BA8A" w14:textId="77777777" w:rsidR="001371BA" w:rsidRDefault="001371B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181F98" w14:textId="77777777" w:rsidR="001371BA" w:rsidRDefault="001371B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6595" w14:textId="77777777" w:rsidR="001371BA" w:rsidRPr="003035B1" w:rsidRDefault="001371BA" w:rsidP="003035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D4392"/>
    <w:multiLevelType w:val="hybridMultilevel"/>
    <w:tmpl w:val="C27A6CBE"/>
    <w:lvl w:ilvl="0" w:tplc="D5E0A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3B8EC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9C70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450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D6DD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C068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C803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84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30B6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259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BA"/>
    <w:rsid w:val="000905F0"/>
    <w:rsid w:val="00112C91"/>
    <w:rsid w:val="001371BA"/>
    <w:rsid w:val="00242B4F"/>
    <w:rsid w:val="00302F9E"/>
    <w:rsid w:val="004E23CF"/>
    <w:rsid w:val="006D5216"/>
    <w:rsid w:val="00A80498"/>
    <w:rsid w:val="00C52040"/>
    <w:rsid w:val="00C62D14"/>
    <w:rsid w:val="00C6465A"/>
    <w:rsid w:val="00EA3576"/>
    <w:rsid w:val="00FC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B9084"/>
  <w15:chartTrackingRefBased/>
  <w15:docId w15:val="{2C501C04-871E-4874-B48B-69C0B2F5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1BA"/>
    <w:pPr>
      <w:spacing w:before="120" w:after="0" w:line="260" w:lineRule="atLeast"/>
      <w:jc w:val="both"/>
    </w:pPr>
    <w:rPr>
      <w:rFonts w:ascii="Arial" w:hAnsi="Arial"/>
      <w:kern w:val="0"/>
      <w:sz w:val="22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1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1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1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1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1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1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1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1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1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1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1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1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71BA"/>
    <w:pPr>
      <w:spacing w:after="0" w:line="340" w:lineRule="atLeast"/>
    </w:pPr>
    <w:rPr>
      <w:kern w:val="0"/>
      <w:sz w:val="26"/>
      <w:szCs w:val="20"/>
      <w:lang w:val="de-CH"/>
      <w14:ligatures w14:val="none"/>
    </w:rPr>
    <w:tblPr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71B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1BA"/>
    <w:rPr>
      <w:rFonts w:ascii="Arial" w:hAnsi="Arial"/>
      <w:kern w:val="0"/>
      <w:sz w:val="22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71B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1BA"/>
    <w:rPr>
      <w:rFonts w:ascii="Arial" w:hAnsi="Arial"/>
      <w:kern w:val="0"/>
      <w:sz w:val="22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1480</Words>
  <Characters>8412</Characters>
  <Application>Microsoft Office Word</Application>
  <DocSecurity>0</DocSecurity>
  <Lines>195</Lines>
  <Paragraphs>120</Paragraphs>
  <ScaleCrop>false</ScaleCrop>
  <Company/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2026-06-10T13:48:00Z</dcterms:created>
  <dcterms:modified xsi:type="dcterms:W3CDTF">2026-06-10T13:50:00Z</dcterms:modified>
</cp:coreProperties>
</file>