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52" w:rsidRDefault="00862452" w:rsidP="00862452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F4721">
        <w:rPr>
          <w:rFonts w:ascii="Times New Roman" w:hAnsi="Times New Roman" w:cs="Times New Roman"/>
          <w:b/>
          <w:sz w:val="24"/>
        </w:rPr>
        <w:t>Supplementary Material for</w:t>
      </w:r>
    </w:p>
    <w:p w:rsidR="00862452" w:rsidRDefault="00862452" w:rsidP="00862452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Circulating miRNAs Associated with Frailty in Old People with Cardiovascular Diseases Promote Cellular Senescence and Inflammation </w:t>
      </w:r>
    </w:p>
    <w:p w:rsidR="00131B4F" w:rsidRDefault="00862452" w:rsidP="00C878E3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F4721">
        <w:rPr>
          <w:rFonts w:ascii="Times New Roman" w:hAnsi="Times New Roman" w:cs="Times New Roman"/>
          <w:b/>
          <w:sz w:val="24"/>
        </w:rPr>
        <w:t>Content</w:t>
      </w:r>
    </w:p>
    <w:p w:rsidR="00862452" w:rsidRDefault="00862452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F4721">
        <w:rPr>
          <w:rFonts w:ascii="Times New Roman" w:hAnsi="Times New Roman" w:cs="Times New Roman"/>
          <w:b/>
          <w:sz w:val="24"/>
        </w:rPr>
        <w:t>Supplementary Table 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8E0860">
        <w:rPr>
          <w:rFonts w:ascii="Times New Roman" w:hAnsi="Times New Roman" w:cs="Times New Roman"/>
          <w:sz w:val="24"/>
        </w:rPr>
        <w:t xml:space="preserve">Comparison of </w:t>
      </w:r>
      <w:r>
        <w:rPr>
          <w:rFonts w:ascii="Times New Roman" w:hAnsi="Times New Roman" w:cs="Times New Roman"/>
          <w:sz w:val="24"/>
        </w:rPr>
        <w:t xml:space="preserve">clinical </w:t>
      </w:r>
      <w:r w:rsidRPr="008E0860">
        <w:rPr>
          <w:rFonts w:ascii="Times New Roman" w:hAnsi="Times New Roman" w:cs="Times New Roman"/>
          <w:sz w:val="24"/>
        </w:rPr>
        <w:t>characteristics between</w:t>
      </w:r>
      <w:r>
        <w:rPr>
          <w:rFonts w:ascii="Times New Roman" w:hAnsi="Times New Roman" w:cs="Times New Roman"/>
          <w:sz w:val="24"/>
        </w:rPr>
        <w:t xml:space="preserve"> </w:t>
      </w:r>
      <w:r w:rsidR="00C878E3">
        <w:rPr>
          <w:rFonts w:ascii="Times New Roman" w:hAnsi="Times New Roman" w:cs="Times New Roman"/>
          <w:sz w:val="24"/>
        </w:rPr>
        <w:t xml:space="preserve">included and excluded </w:t>
      </w:r>
      <w:r>
        <w:rPr>
          <w:rFonts w:ascii="Times New Roman" w:hAnsi="Times New Roman" w:cs="Times New Roman"/>
          <w:sz w:val="24"/>
        </w:rPr>
        <w:t xml:space="preserve">subjects </w:t>
      </w:r>
      <w:proofErr w:type="gramStart"/>
      <w:r w:rsidR="00C878E3">
        <w:rPr>
          <w:rFonts w:ascii="Times New Roman" w:hAnsi="Times New Roman" w:cs="Times New Roman"/>
          <w:sz w:val="24"/>
        </w:rPr>
        <w:t>…………………………..</w:t>
      </w:r>
      <w:r w:rsidR="00C918B1"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F96573">
        <w:rPr>
          <w:rFonts w:ascii="Times New Roman" w:hAnsi="Times New Roman" w:cs="Times New Roman"/>
          <w:sz w:val="24"/>
        </w:rPr>
        <w:t>…</w:t>
      </w:r>
      <w:r w:rsidR="00C918B1">
        <w:rPr>
          <w:rFonts w:ascii="Times New Roman" w:hAnsi="Times New Roman" w:cs="Times New Roman"/>
          <w:sz w:val="24"/>
        </w:rPr>
        <w:t>…</w:t>
      </w:r>
      <w:proofErr w:type="gramEnd"/>
      <w:r w:rsidR="00C918B1">
        <w:rPr>
          <w:rFonts w:ascii="Times New Roman" w:hAnsi="Times New Roman" w:cs="Times New Roman"/>
          <w:sz w:val="24"/>
        </w:rPr>
        <w:t>.</w:t>
      </w:r>
      <w:r w:rsidR="00F965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</w:p>
    <w:p w:rsidR="00862452" w:rsidRDefault="00F96573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Table 2. </w:t>
      </w:r>
      <w:r w:rsidRPr="00F96573">
        <w:rPr>
          <w:rFonts w:ascii="Times New Roman" w:hAnsi="Times New Roman" w:cs="Times New Roman"/>
          <w:sz w:val="24"/>
        </w:rPr>
        <w:t>Comparison of</w:t>
      </w:r>
      <w:r>
        <w:rPr>
          <w:rFonts w:ascii="Times New Roman" w:hAnsi="Times New Roman" w:cs="Times New Roman"/>
          <w:sz w:val="24"/>
        </w:rPr>
        <w:t xml:space="preserve"> clinical characteristics </w:t>
      </w:r>
      <w:r w:rsidR="00C878E3">
        <w:rPr>
          <w:rFonts w:ascii="Times New Roman" w:hAnsi="Times New Roman" w:cs="Times New Roman"/>
          <w:sz w:val="24"/>
        </w:rPr>
        <w:t>between frail and non-frail individuals included in the Small RNA-</w:t>
      </w:r>
      <w:proofErr w:type="spellStart"/>
      <w:r w:rsidR="00C878E3">
        <w:rPr>
          <w:rFonts w:ascii="Times New Roman" w:hAnsi="Times New Roman" w:cs="Times New Roman"/>
          <w:sz w:val="24"/>
        </w:rPr>
        <w:t>Seq</w:t>
      </w:r>
      <w:proofErr w:type="spellEnd"/>
      <w:r w:rsidR="00C878E3">
        <w:rPr>
          <w:rFonts w:ascii="Times New Roman" w:hAnsi="Times New Roman" w:cs="Times New Roman"/>
          <w:sz w:val="24"/>
        </w:rPr>
        <w:t xml:space="preserve"> experiment ……….……………………………………</w:t>
      </w:r>
      <w:r>
        <w:rPr>
          <w:rFonts w:ascii="Times New Roman" w:hAnsi="Times New Roman" w:cs="Times New Roman"/>
          <w:sz w:val="24"/>
        </w:rPr>
        <w:t>.3</w:t>
      </w:r>
    </w:p>
    <w:p w:rsidR="00F96573" w:rsidRDefault="00AF178E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 Table 3</w:t>
      </w:r>
      <w:r w:rsidR="00F96573">
        <w:rPr>
          <w:rFonts w:ascii="Times New Roman" w:hAnsi="Times New Roman" w:cs="Times New Roman"/>
          <w:b/>
          <w:sz w:val="24"/>
        </w:rPr>
        <w:t xml:space="preserve">. </w:t>
      </w:r>
      <w:r w:rsidR="00F96573" w:rsidRPr="00F96573">
        <w:rPr>
          <w:rFonts w:ascii="Times New Roman" w:hAnsi="Times New Roman" w:cs="Times New Roman"/>
          <w:sz w:val="24"/>
        </w:rPr>
        <w:t>List of primers</w:t>
      </w:r>
      <w:r>
        <w:rPr>
          <w:rFonts w:ascii="Times New Roman" w:hAnsi="Times New Roman" w:cs="Times New Roman"/>
          <w:sz w:val="24"/>
        </w:rPr>
        <w:t xml:space="preserve"> used for the study</w:t>
      </w:r>
      <w:proofErr w:type="gramStart"/>
      <w:r w:rsidR="00F96573">
        <w:rPr>
          <w:rFonts w:ascii="Times New Roman" w:hAnsi="Times New Roman" w:cs="Times New Roman"/>
          <w:sz w:val="24"/>
        </w:rPr>
        <w:t>…………………</w:t>
      </w:r>
      <w:r w:rsidR="00C878E3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……………….</w:t>
      </w:r>
      <w:r w:rsidR="00C918B1">
        <w:rPr>
          <w:rFonts w:ascii="Times New Roman" w:hAnsi="Times New Roman" w:cs="Times New Roman"/>
          <w:sz w:val="24"/>
        </w:rPr>
        <w:t>...</w:t>
      </w:r>
      <w:r w:rsidR="00F96573">
        <w:rPr>
          <w:rFonts w:ascii="Times New Roman" w:hAnsi="Times New Roman" w:cs="Times New Roman"/>
          <w:sz w:val="24"/>
        </w:rPr>
        <w:t>4</w:t>
      </w:r>
      <w:proofErr w:type="gramEnd"/>
    </w:p>
    <w:p w:rsidR="00F96573" w:rsidRDefault="00F96573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96573">
        <w:rPr>
          <w:rFonts w:ascii="Times New Roman" w:hAnsi="Times New Roman" w:cs="Times New Roman"/>
          <w:b/>
          <w:sz w:val="24"/>
        </w:rPr>
        <w:t xml:space="preserve">Supplementary Figure 1. </w:t>
      </w:r>
      <w:r w:rsidRPr="00F96573">
        <w:rPr>
          <w:rFonts w:ascii="Times New Roman" w:hAnsi="Times New Roman" w:cs="Times New Roman"/>
          <w:sz w:val="24"/>
        </w:rPr>
        <w:t>P</w:t>
      </w:r>
      <w:r w:rsidR="00BA1B4F">
        <w:rPr>
          <w:rFonts w:ascii="Times New Roman" w:hAnsi="Times New Roman" w:cs="Times New Roman"/>
          <w:sz w:val="24"/>
        </w:rPr>
        <w:t xml:space="preserve">rincipal </w:t>
      </w:r>
      <w:r w:rsidRPr="00F96573">
        <w:rPr>
          <w:rFonts w:ascii="Times New Roman" w:hAnsi="Times New Roman" w:cs="Times New Roman"/>
          <w:sz w:val="24"/>
        </w:rPr>
        <w:t>C</w:t>
      </w:r>
      <w:r w:rsidR="00BA1B4F">
        <w:rPr>
          <w:rFonts w:ascii="Times New Roman" w:hAnsi="Times New Roman" w:cs="Times New Roman"/>
          <w:sz w:val="24"/>
        </w:rPr>
        <w:t xml:space="preserve">omponent </w:t>
      </w:r>
      <w:r w:rsidRPr="00F96573">
        <w:rPr>
          <w:rFonts w:ascii="Times New Roman" w:hAnsi="Times New Roman" w:cs="Times New Roman"/>
          <w:sz w:val="24"/>
        </w:rPr>
        <w:t>A</w:t>
      </w:r>
      <w:r w:rsidR="00B74496">
        <w:rPr>
          <w:rFonts w:ascii="Times New Roman" w:hAnsi="Times New Roman" w:cs="Times New Roman"/>
          <w:sz w:val="24"/>
        </w:rPr>
        <w:t xml:space="preserve">nalysis </w:t>
      </w:r>
      <w:r w:rsidR="0057717B">
        <w:rPr>
          <w:rFonts w:ascii="Times New Roman" w:hAnsi="Times New Roman" w:cs="Times New Roman"/>
          <w:sz w:val="24"/>
        </w:rPr>
        <w:t xml:space="preserve">of frail and non-frail individuals </w:t>
      </w:r>
      <w:r w:rsidR="00C878E3">
        <w:rPr>
          <w:rFonts w:ascii="Times New Roman" w:hAnsi="Times New Roman" w:cs="Times New Roman"/>
          <w:sz w:val="24"/>
        </w:rPr>
        <w:t>according to small RNA-</w:t>
      </w:r>
      <w:proofErr w:type="spellStart"/>
      <w:r w:rsidR="00C878E3">
        <w:rPr>
          <w:rFonts w:ascii="Times New Roman" w:hAnsi="Times New Roman" w:cs="Times New Roman"/>
          <w:sz w:val="24"/>
        </w:rPr>
        <w:t>Seq</w:t>
      </w:r>
      <w:proofErr w:type="spellEnd"/>
      <w:r w:rsidR="00C878E3">
        <w:rPr>
          <w:rFonts w:ascii="Times New Roman" w:hAnsi="Times New Roman" w:cs="Times New Roman"/>
          <w:sz w:val="24"/>
        </w:rPr>
        <w:t xml:space="preserve"> results</w:t>
      </w:r>
      <w:proofErr w:type="gramStart"/>
      <w:r w:rsidR="00C878E3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57717B">
        <w:rPr>
          <w:rFonts w:ascii="Times New Roman" w:hAnsi="Times New Roman" w:cs="Times New Roman"/>
          <w:sz w:val="24"/>
        </w:rPr>
        <w:t>..................</w:t>
      </w:r>
      <w:r w:rsidR="00C032B9">
        <w:rPr>
          <w:rFonts w:ascii="Times New Roman" w:hAnsi="Times New Roman" w:cs="Times New Roman"/>
          <w:sz w:val="24"/>
        </w:rPr>
        <w:t>5</w:t>
      </w:r>
      <w:proofErr w:type="gramEnd"/>
      <w:r w:rsidR="00B74496">
        <w:rPr>
          <w:rFonts w:ascii="Times New Roman" w:hAnsi="Times New Roman" w:cs="Times New Roman"/>
          <w:sz w:val="24"/>
        </w:rPr>
        <w:t xml:space="preserve"> </w:t>
      </w:r>
    </w:p>
    <w:p w:rsidR="003A102B" w:rsidRDefault="003A102B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A1B4F">
        <w:rPr>
          <w:rFonts w:ascii="Times New Roman" w:hAnsi="Times New Roman" w:cs="Times New Roman"/>
          <w:b/>
          <w:sz w:val="24"/>
        </w:rPr>
        <w:t>Supplementary Figure 2</w:t>
      </w:r>
      <w:r w:rsidR="00DD053F">
        <w:rPr>
          <w:rFonts w:ascii="Times New Roman" w:hAnsi="Times New Roman" w:cs="Times New Roman"/>
          <w:b/>
          <w:sz w:val="24"/>
        </w:rPr>
        <w:t xml:space="preserve">. </w:t>
      </w:r>
      <w:r w:rsidR="00A61E84" w:rsidRPr="00A61E84">
        <w:rPr>
          <w:rFonts w:ascii="Times New Roman" w:hAnsi="Times New Roman" w:cs="Times New Roman"/>
          <w:sz w:val="24"/>
        </w:rPr>
        <w:t xml:space="preserve">Expression of </w:t>
      </w:r>
      <w:r w:rsidR="00A11778">
        <w:rPr>
          <w:rFonts w:ascii="Times New Roman" w:hAnsi="Times New Roman" w:cs="Times New Roman"/>
          <w:sz w:val="24"/>
        </w:rPr>
        <w:t xml:space="preserve">plasma </w:t>
      </w:r>
      <w:r w:rsidR="00A61E84" w:rsidRPr="00A61E84">
        <w:rPr>
          <w:rFonts w:ascii="Times New Roman" w:hAnsi="Times New Roman" w:cs="Times New Roman"/>
          <w:sz w:val="24"/>
        </w:rPr>
        <w:t xml:space="preserve">miRNAs </w:t>
      </w:r>
      <w:r w:rsidR="0057717B">
        <w:rPr>
          <w:rFonts w:ascii="Times New Roman" w:hAnsi="Times New Roman" w:cs="Times New Roman"/>
          <w:sz w:val="24"/>
        </w:rPr>
        <w:t>in frail an</w:t>
      </w:r>
      <w:r w:rsidR="00D27FC5">
        <w:rPr>
          <w:rFonts w:ascii="Times New Roman" w:hAnsi="Times New Roman" w:cs="Times New Roman"/>
          <w:sz w:val="24"/>
        </w:rPr>
        <w:t>d</w:t>
      </w:r>
      <w:r w:rsidR="0057717B">
        <w:rPr>
          <w:rFonts w:ascii="Times New Roman" w:hAnsi="Times New Roman" w:cs="Times New Roman"/>
          <w:sz w:val="24"/>
        </w:rPr>
        <w:t xml:space="preserve"> non-frail </w:t>
      </w:r>
      <w:proofErr w:type="gramStart"/>
      <w:r w:rsidR="0057717B">
        <w:rPr>
          <w:rFonts w:ascii="Times New Roman" w:hAnsi="Times New Roman" w:cs="Times New Roman"/>
          <w:sz w:val="24"/>
        </w:rPr>
        <w:t xml:space="preserve">individuals </w:t>
      </w:r>
      <w:r w:rsidR="00A11778">
        <w:rPr>
          <w:rFonts w:ascii="Times New Roman" w:hAnsi="Times New Roman" w:cs="Times New Roman"/>
          <w:sz w:val="24"/>
        </w:rPr>
        <w:t>.</w:t>
      </w:r>
      <w:proofErr w:type="gramEnd"/>
      <w:r w:rsidR="0057717B">
        <w:rPr>
          <w:rFonts w:ascii="Times New Roman" w:hAnsi="Times New Roman" w:cs="Times New Roman"/>
          <w:sz w:val="24"/>
        </w:rPr>
        <w:t>……</w:t>
      </w:r>
      <w:r w:rsidR="00A61E84">
        <w:rPr>
          <w:rFonts w:ascii="Times New Roman" w:hAnsi="Times New Roman" w:cs="Times New Roman"/>
          <w:sz w:val="24"/>
        </w:rPr>
        <w:t>…..6</w:t>
      </w:r>
    </w:p>
    <w:p w:rsidR="00DD053F" w:rsidRDefault="00DD053F" w:rsidP="00C878E3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Figure 3. </w:t>
      </w:r>
      <w:r w:rsidR="0057717B" w:rsidRPr="0057717B">
        <w:rPr>
          <w:rFonts w:ascii="Times New Roman" w:hAnsi="Times New Roman" w:cs="Times New Roman"/>
          <w:sz w:val="24"/>
        </w:rPr>
        <w:t xml:space="preserve">GO processes targeted by miR-500a-5p according to </w:t>
      </w:r>
      <w:proofErr w:type="spellStart"/>
      <w:r w:rsidR="0057717B" w:rsidRPr="0057717B">
        <w:rPr>
          <w:rFonts w:ascii="Times New Roman" w:hAnsi="Times New Roman" w:cs="Times New Roman"/>
          <w:sz w:val="24"/>
        </w:rPr>
        <w:t>miRINgo</w:t>
      </w:r>
      <w:proofErr w:type="spellEnd"/>
      <w:r w:rsidR="0057717B">
        <w:rPr>
          <w:rFonts w:ascii="Times New Roman" w:hAnsi="Times New Roman" w:cs="Times New Roman"/>
          <w:sz w:val="24"/>
        </w:rPr>
        <w:t>………….</w:t>
      </w:r>
      <w:r w:rsidR="00A61E84">
        <w:rPr>
          <w:rFonts w:ascii="Times New Roman" w:hAnsi="Times New Roman" w:cs="Times New Roman"/>
          <w:sz w:val="24"/>
        </w:rPr>
        <w:t>7</w:t>
      </w:r>
    </w:p>
    <w:p w:rsidR="00BA1B4F" w:rsidRDefault="00897514" w:rsidP="00C878E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Supplementary Figure 4</w:t>
      </w:r>
      <w:r w:rsidR="00BA1B4F">
        <w:rPr>
          <w:rFonts w:ascii="Times New Roman" w:hAnsi="Times New Roman" w:cs="Times New Roman"/>
          <w:b/>
          <w:sz w:val="24"/>
        </w:rPr>
        <w:t xml:space="preserve">. </w:t>
      </w:r>
      <w:r w:rsidR="00E13B07" w:rsidRPr="00E13B07">
        <w:rPr>
          <w:rFonts w:ascii="Times New Roman" w:hAnsi="Times New Roman" w:cs="Times New Roman"/>
          <w:sz w:val="24"/>
        </w:rPr>
        <w:t>Overexpression of miR-181b-3p and miR-490-5p in endothelial cells</w:t>
      </w:r>
      <w:r w:rsidR="00E13B07">
        <w:rPr>
          <w:rFonts w:ascii="Times New Roman" w:hAnsi="Times New Roman" w:cs="Times New Roman"/>
          <w:b/>
          <w:sz w:val="24"/>
        </w:rPr>
        <w:t>….</w:t>
      </w:r>
      <w:r w:rsidR="00A61E84">
        <w:rPr>
          <w:rFonts w:ascii="Times New Roman" w:hAnsi="Times New Roman" w:cs="Times New Roman"/>
          <w:sz w:val="24"/>
        </w:rPr>
        <w:t>8</w:t>
      </w: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CA6239" w:rsidRDefault="00CA6239">
      <w:pPr>
        <w:rPr>
          <w:rFonts w:ascii="Times New Roman" w:hAnsi="Times New Roman" w:cs="Times New Roman"/>
          <w:sz w:val="24"/>
        </w:rPr>
      </w:pPr>
    </w:p>
    <w:p w:rsidR="00E13B07" w:rsidRDefault="00E13B07">
      <w:pPr>
        <w:rPr>
          <w:rFonts w:ascii="Times New Roman" w:hAnsi="Times New Roman" w:cs="Times New Roman"/>
          <w:sz w:val="24"/>
        </w:rPr>
      </w:pPr>
    </w:p>
    <w:p w:rsidR="00E13B07" w:rsidRDefault="00E13B07">
      <w:pPr>
        <w:rPr>
          <w:rFonts w:ascii="Times New Roman" w:hAnsi="Times New Roman" w:cs="Times New Roman"/>
          <w:sz w:val="24"/>
        </w:rPr>
      </w:pPr>
    </w:p>
    <w:p w:rsidR="00D442F0" w:rsidRDefault="005D722E" w:rsidP="0057717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F4721">
        <w:rPr>
          <w:rFonts w:ascii="Times New Roman" w:hAnsi="Times New Roman" w:cs="Times New Roman"/>
          <w:b/>
          <w:sz w:val="24"/>
        </w:rPr>
        <w:lastRenderedPageBreak/>
        <w:t>Supplementary Table 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2A2437" w:rsidRPr="002A2437">
        <w:rPr>
          <w:rFonts w:ascii="Times New Roman" w:hAnsi="Times New Roman" w:cs="Times New Roman"/>
          <w:b/>
          <w:sz w:val="24"/>
        </w:rPr>
        <w:t>Comparison of clinical characteristics between included and excluded subjects</w:t>
      </w:r>
      <w:r w:rsidR="00850838">
        <w:rPr>
          <w:rFonts w:ascii="Times New Roman" w:hAnsi="Times New Roman" w:cs="Times New Roman"/>
          <w:b/>
          <w:sz w:val="24"/>
        </w:rPr>
        <w:t>.</w:t>
      </w:r>
    </w:p>
    <w:tbl>
      <w:tblPr>
        <w:tblStyle w:val="Grigliatabella"/>
        <w:tblW w:w="10561" w:type="dxa"/>
        <w:jc w:val="center"/>
        <w:tblLook w:val="04A0" w:firstRow="1" w:lastRow="0" w:firstColumn="1" w:lastColumn="0" w:noHBand="0" w:noVBand="1"/>
      </w:tblPr>
      <w:tblGrid>
        <w:gridCol w:w="4038"/>
        <w:gridCol w:w="2332"/>
        <w:gridCol w:w="2332"/>
        <w:gridCol w:w="1859"/>
      </w:tblGrid>
      <w:tr w:rsidR="008D7C52" w:rsidRPr="0021024A" w:rsidTr="00D27FC5">
        <w:trPr>
          <w:trHeight w:val="601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Subjects included in the study</w:t>
            </w:r>
          </w:p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(N=197)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Subjects excluded from the study</w:t>
            </w:r>
          </w:p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(n=9)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p-</w:t>
            </w: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</w:tr>
      <w:tr w:rsidR="008D7C52" w:rsidRPr="0021024A" w:rsidTr="00D27FC5">
        <w:trPr>
          <w:trHeight w:val="398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Age (years)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78 (72-83)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80 (74-84)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</w:p>
        </w:tc>
      </w:tr>
      <w:tr w:rsidR="008D7C52" w:rsidRPr="0021024A" w:rsidTr="00D27FC5">
        <w:trPr>
          <w:trHeight w:val="398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Male, n (%)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140 (71)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5 (56)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0.455</w:t>
            </w:r>
          </w:p>
        </w:tc>
      </w:tr>
      <w:tr w:rsidR="008D7C52" w:rsidRPr="0021024A" w:rsidTr="00D27FC5">
        <w:trPr>
          <w:trHeight w:val="415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BMI (kg/m</w:t>
            </w:r>
            <w:r w:rsidRPr="00A600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25 (23-28)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25 (23-28)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0.933</w:t>
            </w:r>
          </w:p>
        </w:tc>
      </w:tr>
      <w:tr w:rsidR="008D7C52" w:rsidRPr="0021024A" w:rsidTr="00D27FC5">
        <w:trPr>
          <w:trHeight w:val="398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Diastolic Blood Pressure [mmHg]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70 (60-73)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72,5 (60-80)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</w:p>
        </w:tc>
      </w:tr>
      <w:tr w:rsidR="008D7C52" w:rsidRPr="0021024A" w:rsidTr="00D27FC5">
        <w:trPr>
          <w:trHeight w:val="398"/>
          <w:jc w:val="center"/>
        </w:trPr>
        <w:tc>
          <w:tcPr>
            <w:tcW w:w="4038" w:type="dxa"/>
          </w:tcPr>
          <w:p w:rsidR="008D7C52" w:rsidRPr="00A60009" w:rsidRDefault="00D27FC5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Systolic</w:t>
            </w:r>
            <w:r w:rsidR="008D7C52"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Blood Pressure [mmHg]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110 (110-128)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120 (107,5-122,5)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0.837</w:t>
            </w:r>
          </w:p>
        </w:tc>
      </w:tr>
      <w:tr w:rsidR="008D7C52" w:rsidRPr="0021024A" w:rsidTr="00D27FC5">
        <w:trPr>
          <w:trHeight w:val="398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Diabetes, n (%)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55 (28)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4 (44)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0.281</w:t>
            </w:r>
          </w:p>
        </w:tc>
      </w:tr>
      <w:tr w:rsidR="008D7C52" w:rsidRPr="0021024A" w:rsidTr="00D27FC5">
        <w:trPr>
          <w:trHeight w:val="415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Heart rate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70 (63-77)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74 (72-81)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</w:tr>
      <w:tr w:rsidR="008D7C52" w:rsidRPr="0021024A" w:rsidTr="00D27FC5">
        <w:trPr>
          <w:trHeight w:val="414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Total Cholesterol (mg/dl)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128 (102-158)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136 (129-142)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0.283</w:t>
            </w:r>
          </w:p>
        </w:tc>
      </w:tr>
      <w:tr w:rsidR="008D7C52" w:rsidRPr="0021024A" w:rsidTr="00D27FC5">
        <w:trPr>
          <w:trHeight w:val="366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LDL cholesterol (mg/dl)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64 (46-91)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77,8 (66-82,5)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0.267</w:t>
            </w:r>
          </w:p>
        </w:tc>
      </w:tr>
      <w:tr w:rsidR="008D7C52" w:rsidRPr="0021024A" w:rsidTr="00D27FC5">
        <w:trPr>
          <w:trHeight w:val="366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HDL cholesterol (mg/dl)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38 (32-47)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38.5 (31-39,3)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0.661</w:t>
            </w:r>
          </w:p>
        </w:tc>
      </w:tr>
      <w:tr w:rsidR="008D7C52" w:rsidRPr="0021024A" w:rsidTr="00D27FC5">
        <w:trPr>
          <w:trHeight w:val="388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Triglycerides (mg/dl)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103 (84-130)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99,5 (94-148)</w:t>
            </w:r>
          </w:p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0.508</w:t>
            </w:r>
          </w:p>
        </w:tc>
      </w:tr>
      <w:tr w:rsidR="008D7C52" w:rsidRPr="008E721E" w:rsidTr="00D27FC5">
        <w:trPr>
          <w:trHeight w:val="381"/>
          <w:jc w:val="center"/>
        </w:trPr>
        <w:tc>
          <w:tcPr>
            <w:tcW w:w="4038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b/>
                <w:sz w:val="24"/>
                <w:szCs w:val="24"/>
              </w:rPr>
              <w:t>Creatinine (mg/dl)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1.1 (0.90-1.5)</w:t>
            </w:r>
          </w:p>
        </w:tc>
        <w:tc>
          <w:tcPr>
            <w:tcW w:w="2332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1.3 (1.2-1.7)</w:t>
            </w:r>
          </w:p>
        </w:tc>
        <w:tc>
          <w:tcPr>
            <w:tcW w:w="1859" w:type="dxa"/>
          </w:tcPr>
          <w:p w:rsidR="008D7C52" w:rsidRPr="00A60009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9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</w:tr>
      <w:tr w:rsidR="008D7C52" w:rsidRPr="00B333FC" w:rsidTr="00D27FC5">
        <w:trPr>
          <w:trHeight w:val="366"/>
          <w:jc w:val="center"/>
        </w:trPr>
        <w:tc>
          <w:tcPr>
            <w:tcW w:w="4038" w:type="dxa"/>
          </w:tcPr>
          <w:p w:rsidR="008D7C52" w:rsidRPr="00E13B07" w:rsidRDefault="008D7C52" w:rsidP="008F5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07">
              <w:rPr>
                <w:rFonts w:ascii="Times New Roman" w:hAnsi="Times New Roman" w:cs="Times New Roman"/>
                <w:b/>
                <w:sz w:val="24"/>
                <w:szCs w:val="24"/>
              </w:rPr>
              <w:t>HbA1c</w:t>
            </w:r>
            <w:r w:rsidR="00E13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% </w:t>
            </w:r>
          </w:p>
        </w:tc>
        <w:tc>
          <w:tcPr>
            <w:tcW w:w="2332" w:type="dxa"/>
          </w:tcPr>
          <w:p w:rsidR="008D7C52" w:rsidRPr="00E13B07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B07">
              <w:rPr>
                <w:rFonts w:ascii="Times New Roman" w:hAnsi="Times New Roman" w:cs="Times New Roman"/>
                <w:sz w:val="24"/>
                <w:szCs w:val="24"/>
              </w:rPr>
              <w:t>5.9 (5.4-6.5)</w:t>
            </w:r>
          </w:p>
        </w:tc>
        <w:tc>
          <w:tcPr>
            <w:tcW w:w="2332" w:type="dxa"/>
          </w:tcPr>
          <w:p w:rsidR="008D7C52" w:rsidRPr="00E13B07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B07">
              <w:rPr>
                <w:rFonts w:ascii="Times New Roman" w:hAnsi="Times New Roman" w:cs="Times New Roman"/>
                <w:sz w:val="24"/>
                <w:szCs w:val="24"/>
              </w:rPr>
              <w:t>6.4 (5.9-6.5)</w:t>
            </w:r>
          </w:p>
        </w:tc>
        <w:tc>
          <w:tcPr>
            <w:tcW w:w="1859" w:type="dxa"/>
          </w:tcPr>
          <w:p w:rsidR="008D7C52" w:rsidRPr="00E13B07" w:rsidRDefault="008D7C52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B07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</w:tr>
    </w:tbl>
    <w:p w:rsidR="005D722E" w:rsidRDefault="005D722E">
      <w:pPr>
        <w:rPr>
          <w:b/>
        </w:rPr>
      </w:pPr>
    </w:p>
    <w:p w:rsidR="00E13B07" w:rsidRPr="0092248B" w:rsidRDefault="00E13B07" w:rsidP="00E13B0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92248B">
        <w:rPr>
          <w:rFonts w:ascii="Times New Roman" w:hAnsi="Times New Roman" w:cs="Times New Roman"/>
          <w:sz w:val="24"/>
        </w:rPr>
        <w:t>Clinical variables in the two groups of subjects</w:t>
      </w:r>
      <w:r>
        <w:rPr>
          <w:rFonts w:ascii="Times New Roman" w:hAnsi="Times New Roman" w:cs="Times New Roman"/>
          <w:sz w:val="24"/>
        </w:rPr>
        <w:t xml:space="preserve"> included and excluded from this study due to plasma samples not available, </w:t>
      </w:r>
      <w:r w:rsidRPr="00E13B07">
        <w:rPr>
          <w:rFonts w:ascii="Times New Roman" w:hAnsi="Times New Roman" w:cs="Times New Roman"/>
          <w:i/>
          <w:sz w:val="24"/>
        </w:rPr>
        <w:t>i.e</w:t>
      </w:r>
      <w:r>
        <w:rPr>
          <w:rFonts w:ascii="Times New Roman" w:hAnsi="Times New Roman" w:cs="Times New Roman"/>
          <w:sz w:val="24"/>
        </w:rPr>
        <w:t>. lack of blood withdrawal or hemolyzed samples</w:t>
      </w:r>
      <w:r w:rsidRPr="0092248B">
        <w:rPr>
          <w:rFonts w:ascii="Times New Roman" w:hAnsi="Times New Roman" w:cs="Times New Roman"/>
          <w:sz w:val="24"/>
        </w:rPr>
        <w:t>. P-values derive from Mann–Whitney U test for continuous data</w:t>
      </w:r>
      <w:r>
        <w:rPr>
          <w:rFonts w:ascii="Times New Roman" w:hAnsi="Times New Roman" w:cs="Times New Roman"/>
          <w:sz w:val="24"/>
        </w:rPr>
        <w:t xml:space="preserve"> (Q1-Q3)</w:t>
      </w:r>
      <w:r w:rsidRPr="0092248B">
        <w:rPr>
          <w:rFonts w:ascii="Times New Roman" w:hAnsi="Times New Roman" w:cs="Times New Roman"/>
          <w:sz w:val="24"/>
        </w:rPr>
        <w:t xml:space="preserve"> and from Fisher’s exact test for categorical variables</w:t>
      </w:r>
      <w:r>
        <w:rPr>
          <w:rFonts w:ascii="Times New Roman" w:hAnsi="Times New Roman" w:cs="Times New Roman"/>
          <w:sz w:val="24"/>
        </w:rPr>
        <w:t xml:space="preserve"> (n, %)</w:t>
      </w:r>
      <w:r w:rsidRPr="0092248B">
        <w:rPr>
          <w:rFonts w:ascii="Times New Roman" w:hAnsi="Times New Roman" w:cs="Times New Roman"/>
          <w:sz w:val="24"/>
        </w:rPr>
        <w:t xml:space="preserve">. </w:t>
      </w:r>
    </w:p>
    <w:p w:rsidR="00E13B07" w:rsidRDefault="00E13B07" w:rsidP="00E13B0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92248B">
        <w:rPr>
          <w:rFonts w:ascii="Times New Roman" w:hAnsi="Times New Roman" w:cs="Times New Roman"/>
          <w:sz w:val="24"/>
        </w:rPr>
        <w:t>Abbreviations: BMI, Body Mass Index; LDL, Low Density Lipoprotein</w:t>
      </w:r>
      <w:r>
        <w:rPr>
          <w:rFonts w:ascii="Times New Roman" w:hAnsi="Times New Roman" w:cs="Times New Roman"/>
          <w:sz w:val="24"/>
        </w:rPr>
        <w:t xml:space="preserve">; HDL, High Density Lipoprotein; HbA1c, glycated hemoglobin. </w:t>
      </w:r>
    </w:p>
    <w:p w:rsidR="005D722E" w:rsidRPr="00E13B07" w:rsidRDefault="005D722E" w:rsidP="00E13B07">
      <w:pPr>
        <w:jc w:val="both"/>
        <w:rPr>
          <w:rFonts w:ascii="Times New Roman" w:hAnsi="Times New Roman" w:cs="Times New Roman"/>
          <w:sz w:val="24"/>
        </w:rPr>
      </w:pPr>
    </w:p>
    <w:p w:rsidR="005D722E" w:rsidRDefault="005D722E">
      <w:pPr>
        <w:rPr>
          <w:b/>
        </w:rPr>
      </w:pPr>
    </w:p>
    <w:p w:rsidR="005D722E" w:rsidRDefault="005D722E">
      <w:pPr>
        <w:rPr>
          <w:b/>
        </w:rPr>
      </w:pPr>
    </w:p>
    <w:p w:rsidR="005D722E" w:rsidRDefault="005D722E">
      <w:pPr>
        <w:rPr>
          <w:b/>
        </w:rPr>
      </w:pPr>
    </w:p>
    <w:p w:rsidR="00B3265E" w:rsidRDefault="00B3265E">
      <w:pPr>
        <w:rPr>
          <w:b/>
        </w:rPr>
      </w:pPr>
    </w:p>
    <w:p w:rsidR="0057717B" w:rsidRDefault="0057717B">
      <w:pPr>
        <w:rPr>
          <w:b/>
        </w:rPr>
      </w:pPr>
    </w:p>
    <w:p w:rsidR="00B3265E" w:rsidRDefault="00B3265E">
      <w:pPr>
        <w:rPr>
          <w:b/>
        </w:rPr>
      </w:pPr>
    </w:p>
    <w:p w:rsidR="00B3265E" w:rsidRDefault="00B3265E" w:rsidP="0057717B">
      <w:pPr>
        <w:spacing w:line="48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Supplementary Table 2. </w:t>
      </w:r>
      <w:r w:rsidR="00EF7359" w:rsidRPr="00EF7359">
        <w:rPr>
          <w:rFonts w:ascii="Times New Roman" w:hAnsi="Times New Roman" w:cs="Times New Roman"/>
          <w:b/>
          <w:sz w:val="24"/>
        </w:rPr>
        <w:t xml:space="preserve">Comparison of clinical characteristics between frail and non-frail individuals included in the Small </w:t>
      </w:r>
      <w:r w:rsidR="00EF7359">
        <w:rPr>
          <w:rFonts w:ascii="Times New Roman" w:hAnsi="Times New Roman" w:cs="Times New Roman"/>
          <w:b/>
          <w:sz w:val="24"/>
        </w:rPr>
        <w:t>RNA-</w:t>
      </w:r>
      <w:proofErr w:type="spellStart"/>
      <w:r w:rsidR="00EF7359">
        <w:rPr>
          <w:rFonts w:ascii="Times New Roman" w:hAnsi="Times New Roman" w:cs="Times New Roman"/>
          <w:b/>
          <w:sz w:val="24"/>
        </w:rPr>
        <w:t>Seq</w:t>
      </w:r>
      <w:proofErr w:type="spellEnd"/>
      <w:r w:rsidR="00EF7359">
        <w:rPr>
          <w:rFonts w:ascii="Times New Roman" w:hAnsi="Times New Roman" w:cs="Times New Roman"/>
          <w:b/>
          <w:sz w:val="24"/>
        </w:rPr>
        <w:t xml:space="preserve"> experiment, </w:t>
      </w:r>
      <w:r w:rsidR="00EF7359" w:rsidRPr="00EF7359">
        <w:rPr>
          <w:rFonts w:ascii="Times New Roman" w:hAnsi="Times New Roman" w:cs="Times New Roman"/>
          <w:b/>
          <w:i/>
          <w:sz w:val="24"/>
        </w:rPr>
        <w:t>i.e</w:t>
      </w:r>
      <w:r w:rsidR="00EF7359">
        <w:rPr>
          <w:rFonts w:ascii="Times New Roman" w:hAnsi="Times New Roman" w:cs="Times New Roman"/>
          <w:b/>
          <w:sz w:val="24"/>
        </w:rPr>
        <w:t xml:space="preserve">. </w:t>
      </w:r>
      <w:r w:rsidR="002A2437">
        <w:rPr>
          <w:rFonts w:ascii="Times New Roman" w:hAnsi="Times New Roman" w:cs="Times New Roman"/>
          <w:b/>
          <w:sz w:val="24"/>
        </w:rPr>
        <w:t xml:space="preserve">the </w:t>
      </w:r>
      <w:r w:rsidR="00EF7359">
        <w:rPr>
          <w:rFonts w:ascii="Times New Roman" w:hAnsi="Times New Roman" w:cs="Times New Roman"/>
          <w:b/>
          <w:sz w:val="24"/>
        </w:rPr>
        <w:t>discovery phase.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9"/>
        <w:gridCol w:w="2546"/>
        <w:gridCol w:w="2044"/>
        <w:gridCol w:w="1553"/>
      </w:tblGrid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8F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546" w:type="dxa"/>
          </w:tcPr>
          <w:p w:rsidR="00B3265E" w:rsidRPr="00D32E14" w:rsidRDefault="00B3265E" w:rsidP="00D27F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Not Frail </w:t>
            </w:r>
            <w:r w:rsidR="00D27F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D32E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(N=12)</w:t>
            </w:r>
          </w:p>
        </w:tc>
        <w:tc>
          <w:tcPr>
            <w:tcW w:w="2044" w:type="dxa"/>
          </w:tcPr>
          <w:p w:rsidR="00B3265E" w:rsidRPr="00D32E14" w:rsidRDefault="00B3265E" w:rsidP="00D27F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Frail</w:t>
            </w:r>
            <w:r w:rsidR="00D27F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D32E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(n=12)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p-</w:t>
            </w:r>
            <w:r w:rsidRPr="00D32E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value</w:t>
            </w:r>
          </w:p>
        </w:tc>
      </w:tr>
      <w:tr w:rsidR="00B3265E" w:rsidRPr="00D32E14" w:rsidTr="0057717B">
        <w:trPr>
          <w:trHeight w:val="572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Age (years)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 (74.8-82.5)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76.5 (74.8-81.5)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</w:tc>
      </w:tr>
      <w:tr w:rsidR="00B3265E" w:rsidRPr="00D32E14" w:rsidTr="0057717B">
        <w:trPr>
          <w:trHeight w:val="340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Male, n (%)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(75)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(58.3)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</w:tr>
      <w:tr w:rsidR="00B3265E" w:rsidRPr="00D32E14" w:rsidTr="0057717B">
        <w:trPr>
          <w:trHeight w:val="340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BMI (kg/m</w:t>
            </w:r>
            <w:r w:rsidRPr="00D32E1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it-IT"/>
              </w:rPr>
              <w:t>2</w:t>
            </w:r>
            <w:r w:rsidRPr="00D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 (24.1-26.7)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25.3 (22.4-28.2)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0" w:name="OLE_LINK1"/>
            <w:r w:rsidRPr="00D3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Hypertension</w:t>
            </w:r>
            <w:bookmarkEnd w:id="0"/>
            <w:r w:rsidRPr="00D3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, n (%)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(66.7)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11 (91.7)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0.317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Diabetes, </w:t>
            </w:r>
            <w:r w:rsidRPr="00D32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 (%)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(16.7)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5 (41.7)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0.371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Systolic blood pressure (mmHg)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(110-125)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110 (100-120)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Diastolic blood pressure (mmHg)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(70-80)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(70-80)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Heart rate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(62-73)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72 (66.5-76)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Total cholesterol (mg/dl)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(112-172)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137 (88.8-182.5)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0.895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LDL cholesterol (mg/dl)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 (52.3-111.8)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56 (35-130)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0.905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HDL cholesterol (mg/dl)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 (32.3-50.8)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34.5 (27.3-37.8)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0.214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Triglycerides (mg/dl)</w:t>
            </w:r>
          </w:p>
        </w:tc>
        <w:tc>
          <w:tcPr>
            <w:tcW w:w="2546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113 (96.3-134)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116 (115-137)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B3265E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it-IT"/>
              </w:rPr>
              <w:t>Creatinine (mg/dl)</w:t>
            </w:r>
          </w:p>
        </w:tc>
        <w:tc>
          <w:tcPr>
            <w:tcW w:w="2546" w:type="dxa"/>
            <w:vAlign w:val="bottom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1.4 (1.2-1.5)</w:t>
            </w:r>
          </w:p>
        </w:tc>
        <w:tc>
          <w:tcPr>
            <w:tcW w:w="2044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1.6 (1.5-2)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</w:tr>
      <w:tr w:rsidR="00B3265E" w:rsidRPr="00D32E14" w:rsidTr="0057717B">
        <w:trPr>
          <w:trHeight w:val="283"/>
          <w:jc w:val="center"/>
        </w:trPr>
        <w:tc>
          <w:tcPr>
            <w:tcW w:w="4619" w:type="dxa"/>
          </w:tcPr>
          <w:p w:rsidR="00B3265E" w:rsidRPr="00D32E14" w:rsidRDefault="00E13B07" w:rsidP="00E1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13B07">
              <w:rPr>
                <w:rFonts w:ascii="Times New Roman" w:hAnsi="Times New Roman" w:cs="Times New Roman"/>
                <w:b/>
                <w:sz w:val="24"/>
                <w:szCs w:val="24"/>
              </w:rPr>
              <w:t>HbA1c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  <w:tc>
          <w:tcPr>
            <w:tcW w:w="2546" w:type="dxa"/>
          </w:tcPr>
          <w:p w:rsidR="00B3265E" w:rsidRPr="00D32E14" w:rsidRDefault="00B3265E" w:rsidP="00E13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E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(5.2</w:t>
            </w: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3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.5)</w:t>
            </w:r>
          </w:p>
        </w:tc>
        <w:tc>
          <w:tcPr>
            <w:tcW w:w="2044" w:type="dxa"/>
          </w:tcPr>
          <w:p w:rsidR="00B3265E" w:rsidRPr="00D32E14" w:rsidRDefault="00E13B07" w:rsidP="00E1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B3265E" w:rsidRPr="00D32E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5.7-7.7</w:t>
            </w:r>
            <w:r w:rsidR="00B3265E" w:rsidRPr="00D32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</w:tcPr>
          <w:p w:rsidR="00B3265E" w:rsidRPr="00D32E14" w:rsidRDefault="00B3265E" w:rsidP="008F5B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0.810</w:t>
            </w:r>
          </w:p>
        </w:tc>
      </w:tr>
    </w:tbl>
    <w:p w:rsidR="00B3265E" w:rsidRDefault="00B3265E">
      <w:pPr>
        <w:rPr>
          <w:b/>
        </w:rPr>
      </w:pPr>
    </w:p>
    <w:p w:rsidR="00EF7359" w:rsidRPr="0092248B" w:rsidRDefault="00EF7359" w:rsidP="00EF7359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92248B">
        <w:rPr>
          <w:rFonts w:ascii="Times New Roman" w:hAnsi="Times New Roman" w:cs="Times New Roman"/>
          <w:sz w:val="24"/>
        </w:rPr>
        <w:t xml:space="preserve">Clinical variables in the two groups of </w:t>
      </w:r>
      <w:r w:rsidR="002A2437">
        <w:rPr>
          <w:rFonts w:ascii="Times New Roman" w:hAnsi="Times New Roman" w:cs="Times New Roman"/>
          <w:sz w:val="24"/>
        </w:rPr>
        <w:t>frail and non-frail individuals included in the study relative to the Small RNA-Sequencing of plasma (n=24)</w:t>
      </w:r>
      <w:r w:rsidRPr="0092248B">
        <w:rPr>
          <w:rFonts w:ascii="Times New Roman" w:hAnsi="Times New Roman" w:cs="Times New Roman"/>
          <w:sz w:val="24"/>
        </w:rPr>
        <w:t>. P-values derive from Mann–Whitney U test for continuous data</w:t>
      </w:r>
      <w:r>
        <w:rPr>
          <w:rFonts w:ascii="Times New Roman" w:hAnsi="Times New Roman" w:cs="Times New Roman"/>
          <w:sz w:val="24"/>
        </w:rPr>
        <w:t xml:space="preserve"> (Q1-Q3)</w:t>
      </w:r>
      <w:r w:rsidRPr="0092248B">
        <w:rPr>
          <w:rFonts w:ascii="Times New Roman" w:hAnsi="Times New Roman" w:cs="Times New Roman"/>
          <w:sz w:val="24"/>
        </w:rPr>
        <w:t xml:space="preserve"> and from Fisher’s exact test for categorical variables</w:t>
      </w:r>
      <w:r>
        <w:rPr>
          <w:rFonts w:ascii="Times New Roman" w:hAnsi="Times New Roman" w:cs="Times New Roman"/>
          <w:sz w:val="24"/>
        </w:rPr>
        <w:t xml:space="preserve"> (n, %)</w:t>
      </w:r>
      <w:r w:rsidRPr="0092248B">
        <w:rPr>
          <w:rFonts w:ascii="Times New Roman" w:hAnsi="Times New Roman" w:cs="Times New Roman"/>
          <w:sz w:val="24"/>
        </w:rPr>
        <w:t xml:space="preserve">. </w:t>
      </w:r>
    </w:p>
    <w:p w:rsidR="00EF7359" w:rsidRDefault="00EF7359" w:rsidP="00EF7359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92248B">
        <w:rPr>
          <w:rFonts w:ascii="Times New Roman" w:hAnsi="Times New Roman" w:cs="Times New Roman"/>
          <w:sz w:val="24"/>
        </w:rPr>
        <w:t>Abbreviations: BMI, Body Mass Index; LDL, Low Density Lipoprotein</w:t>
      </w:r>
      <w:r>
        <w:rPr>
          <w:rFonts w:ascii="Times New Roman" w:hAnsi="Times New Roman" w:cs="Times New Roman"/>
          <w:sz w:val="24"/>
        </w:rPr>
        <w:t xml:space="preserve">; HDL, High Density Lipoprotein; HbA1c, glycated hemoglobin. </w:t>
      </w:r>
    </w:p>
    <w:p w:rsidR="00B3265E" w:rsidRDefault="00B3265E">
      <w:pPr>
        <w:rPr>
          <w:b/>
        </w:rPr>
      </w:pPr>
    </w:p>
    <w:p w:rsidR="001467A6" w:rsidRDefault="001467A6">
      <w:pPr>
        <w:rPr>
          <w:b/>
        </w:rPr>
      </w:pPr>
    </w:p>
    <w:p w:rsidR="0057717B" w:rsidRDefault="0057717B">
      <w:pPr>
        <w:rPr>
          <w:b/>
        </w:rPr>
      </w:pPr>
    </w:p>
    <w:p w:rsidR="0057717B" w:rsidRDefault="0057717B">
      <w:pPr>
        <w:rPr>
          <w:b/>
        </w:rPr>
      </w:pPr>
    </w:p>
    <w:p w:rsidR="002A2437" w:rsidRDefault="002A2437">
      <w:pPr>
        <w:rPr>
          <w:b/>
        </w:rPr>
      </w:pPr>
    </w:p>
    <w:p w:rsidR="0057717B" w:rsidRDefault="0057717B">
      <w:pPr>
        <w:rPr>
          <w:b/>
        </w:rPr>
      </w:pPr>
    </w:p>
    <w:p w:rsidR="001467A6" w:rsidRDefault="00AF178E" w:rsidP="00EF735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Supplementary Table 3</w:t>
      </w:r>
      <w:r w:rsidR="001467A6">
        <w:rPr>
          <w:rFonts w:ascii="Times New Roman" w:hAnsi="Times New Roman" w:cs="Times New Roman"/>
          <w:b/>
          <w:sz w:val="24"/>
        </w:rPr>
        <w:t xml:space="preserve">. </w:t>
      </w:r>
      <w:r w:rsidR="001467A6" w:rsidRPr="00C57AC3">
        <w:rPr>
          <w:rFonts w:ascii="Times New Roman" w:hAnsi="Times New Roman" w:cs="Times New Roman"/>
          <w:b/>
          <w:sz w:val="24"/>
        </w:rPr>
        <w:t>List of primers</w:t>
      </w:r>
      <w:r w:rsidRPr="00C57AC3">
        <w:rPr>
          <w:rFonts w:ascii="Times New Roman" w:hAnsi="Times New Roman" w:cs="Times New Roman"/>
          <w:b/>
          <w:sz w:val="24"/>
        </w:rPr>
        <w:t xml:space="preserve"> used for the study.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80"/>
        <w:gridCol w:w="4996"/>
      </w:tblGrid>
      <w:tr w:rsidR="00F86492" w:rsidRPr="0076347A" w:rsidTr="002A2437">
        <w:trPr>
          <w:trHeight w:val="318"/>
        </w:trPr>
        <w:tc>
          <w:tcPr>
            <w:tcW w:w="2780" w:type="dxa"/>
          </w:tcPr>
          <w:p w:rsidR="00F86492" w:rsidRPr="0076347A" w:rsidRDefault="00F86492" w:rsidP="008F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Primer</w:t>
            </w:r>
          </w:p>
        </w:tc>
        <w:tc>
          <w:tcPr>
            <w:tcW w:w="4996" w:type="dxa"/>
          </w:tcPr>
          <w:p w:rsidR="00F86492" w:rsidRPr="005A36DB" w:rsidRDefault="00F86492" w:rsidP="008F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36DB">
              <w:rPr>
                <w:rFonts w:ascii="Times New Roman" w:hAnsi="Times New Roman" w:cs="Times New Roman"/>
                <w:b/>
              </w:rPr>
              <w:t>Sequence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8F5B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CXCL1 for</w:t>
            </w:r>
          </w:p>
        </w:tc>
        <w:tc>
          <w:tcPr>
            <w:tcW w:w="4996" w:type="dxa"/>
          </w:tcPr>
          <w:p w:rsidR="00F86492" w:rsidRPr="0076347A" w:rsidRDefault="00F86492" w:rsidP="008F5B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TCC TGC ATC CCC CAT AGT TA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8F5B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CXCL1 rev</w:t>
            </w:r>
          </w:p>
        </w:tc>
        <w:tc>
          <w:tcPr>
            <w:tcW w:w="4996" w:type="dxa"/>
          </w:tcPr>
          <w:p w:rsidR="00F86492" w:rsidRPr="0076347A" w:rsidRDefault="00F86492" w:rsidP="008F5B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CTT CAG GAA CAG CCA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CCA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GT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GAPDH for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TCC TCT GAC TTC AAC AGC GAC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GAPDH 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TCT CTC TTC CTC TTG TGC TCT T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IL-1β</w:t>
            </w:r>
            <w:r w:rsidRPr="0076347A">
              <w:rPr>
                <w:rFonts w:ascii="Times New Roman" w:hAnsi="Times New Roman" w:cs="Times New Roman"/>
                <w:color w:val="000000"/>
              </w:rPr>
              <w:t xml:space="preserve"> for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48A1">
              <w:rPr>
                <w:rFonts w:ascii="Times New Roman" w:hAnsi="Times New Roman" w:cs="Times New Roman"/>
                <w:color w:val="000000"/>
              </w:rPr>
              <w:t>CCA GCT ACG AAT CTC CGA CC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IL-1β</w:t>
            </w:r>
            <w:r w:rsidRPr="0076347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48A1">
              <w:rPr>
                <w:rFonts w:ascii="Times New Roman" w:hAnsi="Times New Roman" w:cs="Times New Roman"/>
                <w:color w:val="000000"/>
              </w:rPr>
              <w:t xml:space="preserve">CAT GGC CAC AAC </w:t>
            </w:r>
            <w:proofErr w:type="spellStart"/>
            <w:r w:rsidRPr="00AD48A1">
              <w:rPr>
                <w:rFonts w:ascii="Times New Roman" w:hAnsi="Times New Roman" w:cs="Times New Roman"/>
                <w:color w:val="000000"/>
              </w:rPr>
              <w:t>AAC</w:t>
            </w:r>
            <w:proofErr w:type="spellEnd"/>
            <w:r w:rsidRPr="00AD48A1">
              <w:rPr>
                <w:rFonts w:ascii="Times New Roman" w:hAnsi="Times New Roman" w:cs="Times New Roman"/>
                <w:color w:val="000000"/>
              </w:rPr>
              <w:t xml:space="preserve"> TGA CG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IL-6 for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</w:rPr>
            </w:pPr>
            <w:r w:rsidRPr="0076347A">
              <w:rPr>
                <w:rFonts w:ascii="Times New Roman" w:hAnsi="Times New Roman" w:cs="Times New Roman"/>
              </w:rPr>
              <w:t>TGC AAT AAC CAC CCC TGA CC</w:t>
            </w:r>
          </w:p>
        </w:tc>
      </w:tr>
      <w:tr w:rsidR="00F86492" w:rsidRPr="003B1032" w:rsidTr="002A2437">
        <w:trPr>
          <w:trHeight w:val="305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IL-6 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</w:rPr>
            </w:pPr>
            <w:r w:rsidRPr="0076347A">
              <w:rPr>
                <w:rFonts w:ascii="Times New Roman" w:hAnsi="Times New Roman" w:cs="Times New Roman"/>
              </w:rPr>
              <w:t>GTG CCC ATG CTA CAT TTG CC</w:t>
            </w:r>
          </w:p>
        </w:tc>
      </w:tr>
      <w:tr w:rsidR="00F86492" w:rsidRPr="00C878E3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p16 for</w:t>
            </w:r>
          </w:p>
        </w:tc>
        <w:tc>
          <w:tcPr>
            <w:tcW w:w="4996" w:type="dxa"/>
          </w:tcPr>
          <w:p w:rsidR="00F86492" w:rsidRPr="0040487E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40487E">
              <w:rPr>
                <w:rFonts w:ascii="Times New Roman" w:hAnsi="Times New Roman" w:cs="Times New Roman"/>
                <w:color w:val="000000"/>
                <w:lang w:val="it-IT"/>
              </w:rPr>
              <w:t>CAT AGA TGC CGC GGA AGG T</w:t>
            </w:r>
          </w:p>
        </w:tc>
      </w:tr>
      <w:tr w:rsidR="00F86492" w:rsidRPr="0076347A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p16 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CTA AGT TTC CCG AGG TTT CTC AGA</w:t>
            </w:r>
          </w:p>
        </w:tc>
      </w:tr>
      <w:tr w:rsidR="00F86492" w:rsidRPr="0076347A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p21 for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ACC GAG ACA CCA CTG GAG GG</w:t>
            </w:r>
          </w:p>
        </w:tc>
      </w:tr>
      <w:tr w:rsidR="00F86492" w:rsidRPr="003B1032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p21 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 xml:space="preserve">CCT GCC TCC </w:t>
            </w:r>
            <w:proofErr w:type="spellStart"/>
            <w:r w:rsidRPr="0076347A">
              <w:rPr>
                <w:rFonts w:ascii="Times New Roman" w:hAnsi="Times New Roman" w:cs="Times New Roman"/>
                <w:color w:val="000000"/>
              </w:rPr>
              <w:t>TCC</w:t>
            </w:r>
            <w:proofErr w:type="spellEnd"/>
            <w:r w:rsidRPr="0076347A">
              <w:rPr>
                <w:rFonts w:ascii="Times New Roman" w:hAnsi="Times New Roman" w:cs="Times New Roman"/>
                <w:color w:val="000000"/>
              </w:rPr>
              <w:t xml:space="preserve"> CAA CTC ATC</w:t>
            </w:r>
          </w:p>
        </w:tc>
      </w:tr>
      <w:tr w:rsidR="00F86492" w:rsidRPr="003B1032" w:rsidTr="002A2437">
        <w:trPr>
          <w:trHeight w:val="305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PAI-1 for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CAG ATG AGG ACA GAG TGG TTT C</w:t>
            </w:r>
          </w:p>
        </w:tc>
      </w:tr>
      <w:tr w:rsidR="00F86492" w:rsidRPr="0076347A" w:rsidTr="002A2437">
        <w:trPr>
          <w:trHeight w:val="318"/>
        </w:trPr>
        <w:tc>
          <w:tcPr>
            <w:tcW w:w="2780" w:type="dxa"/>
            <w:vAlign w:val="center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PAI-1 rev</w:t>
            </w:r>
          </w:p>
        </w:tc>
        <w:tc>
          <w:tcPr>
            <w:tcW w:w="4996" w:type="dxa"/>
          </w:tcPr>
          <w:p w:rsidR="00F86492" w:rsidRPr="0076347A" w:rsidRDefault="00F86492" w:rsidP="00F864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347A">
              <w:rPr>
                <w:rFonts w:ascii="Times New Roman" w:hAnsi="Times New Roman" w:cs="Times New Roman"/>
                <w:color w:val="000000"/>
              </w:rPr>
              <w:t>GTG GGC TGA TTA GGC TTC TAT T</w:t>
            </w:r>
          </w:p>
        </w:tc>
      </w:tr>
    </w:tbl>
    <w:p w:rsidR="001467A6" w:rsidRDefault="001467A6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AF178E">
      <w:pPr>
        <w:rPr>
          <w:b/>
        </w:rPr>
      </w:pPr>
    </w:p>
    <w:p w:rsidR="00AF178E" w:rsidRDefault="002A2437" w:rsidP="002A243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b/>
          <w:noProof/>
          <w:lang w:val="it-IT" w:eastAsia="it-I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-210185</wp:posOffset>
            </wp:positionH>
            <wp:positionV relativeFrom="margin">
              <wp:posOffset>814705</wp:posOffset>
            </wp:positionV>
            <wp:extent cx="6585585" cy="4221480"/>
            <wp:effectExtent l="0" t="0" r="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422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78E" w:rsidRPr="00F96573">
        <w:rPr>
          <w:rFonts w:ascii="Times New Roman" w:hAnsi="Times New Roman" w:cs="Times New Roman"/>
          <w:b/>
          <w:sz w:val="24"/>
        </w:rPr>
        <w:t xml:space="preserve">Supplementary Figure 1. </w:t>
      </w:r>
      <w:r>
        <w:rPr>
          <w:rFonts w:ascii="Times New Roman" w:hAnsi="Times New Roman" w:cs="Times New Roman"/>
          <w:b/>
          <w:sz w:val="24"/>
        </w:rPr>
        <w:t>Principal component a</w:t>
      </w:r>
      <w:r w:rsidRPr="002A2437">
        <w:rPr>
          <w:rFonts w:ascii="Times New Roman" w:hAnsi="Times New Roman" w:cs="Times New Roman"/>
          <w:b/>
          <w:sz w:val="24"/>
        </w:rPr>
        <w:t>nalysis</w:t>
      </w:r>
      <w:r>
        <w:rPr>
          <w:rFonts w:ascii="Times New Roman" w:hAnsi="Times New Roman" w:cs="Times New Roman"/>
          <w:b/>
          <w:sz w:val="24"/>
        </w:rPr>
        <w:t xml:space="preserve"> (PCA)</w:t>
      </w:r>
      <w:r w:rsidRPr="002A2437">
        <w:rPr>
          <w:rFonts w:ascii="Times New Roman" w:hAnsi="Times New Roman" w:cs="Times New Roman"/>
          <w:b/>
          <w:sz w:val="24"/>
        </w:rPr>
        <w:t xml:space="preserve"> of frail and non-frail individuals according to small RNA-</w:t>
      </w:r>
      <w:proofErr w:type="spellStart"/>
      <w:r w:rsidRPr="002A2437">
        <w:rPr>
          <w:rFonts w:ascii="Times New Roman" w:hAnsi="Times New Roman" w:cs="Times New Roman"/>
          <w:b/>
          <w:sz w:val="24"/>
        </w:rPr>
        <w:t>Seq</w:t>
      </w:r>
      <w:proofErr w:type="spellEnd"/>
      <w:r w:rsidRPr="002A2437">
        <w:rPr>
          <w:rFonts w:ascii="Times New Roman" w:hAnsi="Times New Roman" w:cs="Times New Roman"/>
          <w:b/>
          <w:sz w:val="24"/>
        </w:rPr>
        <w:t xml:space="preserve"> results</w:t>
      </w:r>
      <w:r w:rsidR="00AF178E">
        <w:rPr>
          <w:rFonts w:ascii="Times New Roman" w:hAnsi="Times New Roman" w:cs="Times New Roman"/>
          <w:sz w:val="24"/>
        </w:rPr>
        <w:t>.</w:t>
      </w: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9B4A42" w:rsidP="002A243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PCA plot showing the total percentage of variance explained by </w:t>
      </w:r>
      <w:r w:rsidRPr="009B4A42">
        <w:rPr>
          <w:rFonts w:ascii="Times New Roman" w:hAnsi="Times New Roman" w:cs="Times New Roman"/>
          <w:sz w:val="24"/>
        </w:rPr>
        <w:t>the first two components (PC1 and PC2)</w:t>
      </w:r>
      <w:r>
        <w:rPr>
          <w:rFonts w:ascii="Times New Roman" w:hAnsi="Times New Roman" w:cs="Times New Roman"/>
          <w:sz w:val="24"/>
        </w:rPr>
        <w:t>. Individual points represent samples from frail and non-frail individuals, along with c</w:t>
      </w:r>
      <w:r w:rsidRPr="009B4A42">
        <w:rPr>
          <w:rFonts w:ascii="Times New Roman" w:hAnsi="Times New Roman" w:cs="Times New Roman"/>
          <w:sz w:val="24"/>
        </w:rPr>
        <w:t xml:space="preserve">olored </w:t>
      </w:r>
      <w:r>
        <w:rPr>
          <w:rFonts w:ascii="Times New Roman" w:hAnsi="Times New Roman" w:cs="Times New Roman"/>
          <w:sz w:val="24"/>
        </w:rPr>
        <w:t>circles</w:t>
      </w:r>
      <w:r w:rsidRPr="009B4A42">
        <w:rPr>
          <w:rFonts w:ascii="Times New Roman" w:hAnsi="Times New Roman" w:cs="Times New Roman"/>
          <w:sz w:val="24"/>
        </w:rPr>
        <w:t xml:space="preserve"> indi</w:t>
      </w:r>
      <w:r>
        <w:rPr>
          <w:rFonts w:ascii="Times New Roman" w:hAnsi="Times New Roman" w:cs="Times New Roman"/>
          <w:sz w:val="24"/>
        </w:rPr>
        <w:t>cating their clustering.</w:t>
      </w: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Pr="00AF178E" w:rsidRDefault="009B4A42" w:rsidP="009B4A4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</w:t>
      </w:r>
      <w:r w:rsidRPr="00BA1B4F">
        <w:rPr>
          <w:rFonts w:ascii="Times New Roman" w:hAnsi="Times New Roman" w:cs="Times New Roman"/>
          <w:b/>
          <w:sz w:val="24"/>
        </w:rPr>
        <w:t>upplementary Figure 2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C57AC3">
        <w:rPr>
          <w:rFonts w:ascii="Times New Roman" w:hAnsi="Times New Roman" w:cs="Times New Roman"/>
          <w:b/>
          <w:sz w:val="24"/>
        </w:rPr>
        <w:t xml:space="preserve">Expression of </w:t>
      </w:r>
      <w:r w:rsidR="00A11778">
        <w:rPr>
          <w:rFonts w:ascii="Times New Roman" w:hAnsi="Times New Roman" w:cs="Times New Roman"/>
          <w:b/>
          <w:sz w:val="24"/>
        </w:rPr>
        <w:t>plasma miRNAs in frail and non-frail individuals</w:t>
      </w:r>
      <w:r w:rsidRPr="00C57AC3">
        <w:rPr>
          <w:rFonts w:ascii="Times New Roman" w:hAnsi="Times New Roman" w:cs="Times New Roman"/>
          <w:b/>
          <w:sz w:val="24"/>
        </w:rPr>
        <w:t>.</w:t>
      </w:r>
    </w:p>
    <w:p w:rsidR="00AF178E" w:rsidRDefault="00A11778" w:rsidP="00A117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t-IT" w:eastAsia="it-IT"/>
        </w:rPr>
        <w:drawing>
          <wp:anchor distT="0" distB="0" distL="114300" distR="114300" simplePos="0" relativeHeight="251665408" behindDoc="0" locked="0" layoutInCell="1" allowOverlap="1" wp14:anchorId="49B7C7D0" wp14:editId="2A7949CF">
            <wp:simplePos x="0" y="0"/>
            <wp:positionH relativeFrom="margin">
              <wp:posOffset>-323850</wp:posOffset>
            </wp:positionH>
            <wp:positionV relativeFrom="paragraph">
              <wp:posOffset>294005</wp:posOffset>
            </wp:positionV>
            <wp:extent cx="6960870" cy="4739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" r="3528"/>
                    <a:stretch/>
                  </pic:blipFill>
                  <pic:spPr bwMode="auto">
                    <a:xfrm>
                      <a:off x="0" y="0"/>
                      <a:ext cx="696087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78E" w:rsidRPr="00AF178E" w:rsidRDefault="00A11778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A11778">
        <w:rPr>
          <w:rFonts w:ascii="Times New Roman" w:hAnsi="Times New Roman" w:cs="Times New Roman"/>
          <w:sz w:val="24"/>
        </w:rPr>
        <w:t>Relative plasma expression levels of hsa-miR-203a-3p, hsa-miR-500b-5p, hsa-miR-548e-5p, hsa-miR-148b-5p, hsa-miR-382-3p, hsa-miR-6833-3p</w:t>
      </w:r>
      <w:r>
        <w:rPr>
          <w:rFonts w:ascii="Times New Roman" w:hAnsi="Times New Roman" w:cs="Times New Roman"/>
          <w:sz w:val="24"/>
        </w:rPr>
        <w:t>,</w:t>
      </w:r>
      <w:r w:rsidRPr="00A11778">
        <w:rPr>
          <w:rFonts w:ascii="Times New Roman" w:hAnsi="Times New Roman" w:cs="Times New Roman"/>
          <w:sz w:val="24"/>
        </w:rPr>
        <w:t xml:space="preserve"> and hsa-miR-619-5p</w:t>
      </w:r>
      <w:r>
        <w:rPr>
          <w:rFonts w:ascii="Times New Roman" w:hAnsi="Times New Roman" w:cs="Times New Roman"/>
          <w:sz w:val="24"/>
        </w:rPr>
        <w:t xml:space="preserve"> </w:t>
      </w:r>
      <w:r w:rsidRPr="00A11778">
        <w:rPr>
          <w:rFonts w:ascii="Times New Roman" w:hAnsi="Times New Roman" w:cs="Times New Roman"/>
          <w:sz w:val="24"/>
        </w:rPr>
        <w:t xml:space="preserve">in non-frail and frail subjects; miRNA expression was quantified by </w:t>
      </w:r>
      <w:proofErr w:type="spellStart"/>
      <w:r w:rsidRPr="00A11778">
        <w:rPr>
          <w:rFonts w:ascii="Times New Roman" w:hAnsi="Times New Roman" w:cs="Times New Roman"/>
          <w:sz w:val="24"/>
        </w:rPr>
        <w:t>qRT</w:t>
      </w:r>
      <w:proofErr w:type="spellEnd"/>
      <w:r w:rsidRPr="00A11778">
        <w:rPr>
          <w:rFonts w:ascii="Times New Roman" w:hAnsi="Times New Roman" w:cs="Times New Roman"/>
          <w:sz w:val="24"/>
        </w:rPr>
        <w:t xml:space="preserve">-PCR and normalized to cel-miR-39 using the 2−ΔCt method; mean and </w:t>
      </w:r>
      <w:r>
        <w:rPr>
          <w:rFonts w:ascii="Times New Roman" w:hAnsi="Times New Roman" w:cs="Times New Roman"/>
          <w:sz w:val="24"/>
        </w:rPr>
        <w:t xml:space="preserve">individual points </w:t>
      </w:r>
      <w:proofErr w:type="gramStart"/>
      <w:r>
        <w:rPr>
          <w:rFonts w:ascii="Times New Roman" w:hAnsi="Times New Roman" w:cs="Times New Roman"/>
          <w:sz w:val="24"/>
        </w:rPr>
        <w:t>are shown</w:t>
      </w:r>
      <w:proofErr w:type="gramEnd"/>
      <w:r>
        <w:rPr>
          <w:rFonts w:ascii="Times New Roman" w:hAnsi="Times New Roman" w:cs="Times New Roman"/>
          <w:sz w:val="24"/>
        </w:rPr>
        <w:t xml:space="preserve">. No significant differences </w:t>
      </w:r>
      <w:proofErr w:type="gramStart"/>
      <w:r>
        <w:rPr>
          <w:rFonts w:ascii="Times New Roman" w:hAnsi="Times New Roman" w:cs="Times New Roman"/>
          <w:sz w:val="24"/>
        </w:rPr>
        <w:t>were observed</w:t>
      </w:r>
      <w:proofErr w:type="gramEnd"/>
      <w:r>
        <w:rPr>
          <w:rFonts w:ascii="Times New Roman" w:hAnsi="Times New Roman" w:cs="Times New Roman"/>
          <w:sz w:val="24"/>
        </w:rPr>
        <w:t xml:space="preserve"> according to </w:t>
      </w:r>
      <w:r w:rsidRPr="00A11778">
        <w:rPr>
          <w:rFonts w:ascii="Times New Roman" w:hAnsi="Times New Roman" w:cs="Times New Roman"/>
          <w:sz w:val="24"/>
        </w:rPr>
        <w:t>Mann Whitney U test.</w:t>
      </w:r>
    </w:p>
    <w:p w:rsidR="00AF178E" w:rsidRDefault="00AF178E" w:rsidP="00AF178E">
      <w:pPr>
        <w:rPr>
          <w:rFonts w:ascii="Times New Roman" w:hAnsi="Times New Roman" w:cs="Times New Roman"/>
          <w:sz w:val="24"/>
        </w:rPr>
      </w:pPr>
    </w:p>
    <w:p w:rsidR="00AF178E" w:rsidRDefault="00AF178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F178E" w:rsidRDefault="00AF178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AF178E" w:rsidRDefault="00AF178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AF178E" w:rsidRDefault="00AF178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AF178E" w:rsidRDefault="00AF178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A11778" w:rsidRDefault="00A11778" w:rsidP="00A11778">
      <w:pPr>
        <w:tabs>
          <w:tab w:val="left" w:pos="19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</w:t>
      </w:r>
      <w:r>
        <w:rPr>
          <w:rFonts w:ascii="Times New Roman" w:hAnsi="Times New Roman" w:cs="Times New Roman"/>
          <w:b/>
          <w:sz w:val="24"/>
        </w:rPr>
        <w:t xml:space="preserve">upplementary Figure 3. GO processes targeted by </w:t>
      </w:r>
      <w:r w:rsidRPr="00C57AC3">
        <w:rPr>
          <w:rFonts w:ascii="Times New Roman" w:hAnsi="Times New Roman" w:cs="Times New Roman"/>
          <w:b/>
          <w:sz w:val="24"/>
        </w:rPr>
        <w:t xml:space="preserve">miR-500a-5p </w:t>
      </w:r>
      <w:r>
        <w:rPr>
          <w:rFonts w:ascii="Times New Roman" w:hAnsi="Times New Roman" w:cs="Times New Roman"/>
          <w:b/>
          <w:sz w:val="24"/>
        </w:rPr>
        <w:t xml:space="preserve">according to </w:t>
      </w:r>
      <w:proofErr w:type="spellStart"/>
      <w:r>
        <w:rPr>
          <w:rFonts w:ascii="Times New Roman" w:hAnsi="Times New Roman" w:cs="Times New Roman"/>
          <w:b/>
          <w:sz w:val="24"/>
        </w:rPr>
        <w:t>miRINgo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AF178E" w:rsidRPr="00A11778" w:rsidRDefault="00A11778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t-IT" w:eastAsia="it-IT"/>
        </w:rPr>
        <w:drawing>
          <wp:anchor distT="0" distB="0" distL="114300" distR="114300" simplePos="0" relativeHeight="251663360" behindDoc="0" locked="0" layoutInCell="1" allowOverlap="1" wp14:anchorId="2A869C26" wp14:editId="09212C2F">
            <wp:simplePos x="0" y="0"/>
            <wp:positionH relativeFrom="margin">
              <wp:align>left</wp:align>
            </wp:positionH>
            <wp:positionV relativeFrom="margin">
              <wp:posOffset>692785</wp:posOffset>
            </wp:positionV>
            <wp:extent cx="6126480" cy="3093720"/>
            <wp:effectExtent l="0" t="0" r="762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1"/>
                    <a:stretch/>
                  </pic:blipFill>
                  <pic:spPr bwMode="auto">
                    <a:xfrm>
                      <a:off x="0" y="0"/>
                      <a:ext cx="61264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A42" w:rsidRDefault="009B4A42" w:rsidP="0057717B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57717B" w:rsidRDefault="008B0017" w:rsidP="008B0017">
      <w:pPr>
        <w:tabs>
          <w:tab w:val="left" w:pos="1980"/>
        </w:tabs>
        <w:jc w:val="both"/>
        <w:rPr>
          <w:rFonts w:ascii="Times New Roman" w:hAnsi="Times New Roman" w:cs="Times New Roman"/>
          <w:sz w:val="24"/>
        </w:rPr>
      </w:pPr>
      <w:r w:rsidRPr="008B0017">
        <w:rPr>
          <w:rFonts w:ascii="Times New Roman" w:hAnsi="Times New Roman" w:cs="Times New Roman"/>
          <w:sz w:val="24"/>
        </w:rPr>
        <w:t>GO enrichment analyses for hsa-miR-</w:t>
      </w:r>
      <w:r>
        <w:rPr>
          <w:rFonts w:ascii="Times New Roman" w:hAnsi="Times New Roman" w:cs="Times New Roman"/>
          <w:sz w:val="24"/>
        </w:rPr>
        <w:t>500a-5p</w:t>
      </w:r>
      <w:r w:rsidRPr="008B0017">
        <w:rPr>
          <w:rFonts w:ascii="Times New Roman" w:hAnsi="Times New Roman" w:cs="Times New Roman"/>
          <w:sz w:val="24"/>
        </w:rPr>
        <w:t xml:space="preserve"> according to the software </w:t>
      </w:r>
      <w:proofErr w:type="spellStart"/>
      <w:r w:rsidRPr="008B0017">
        <w:rPr>
          <w:rFonts w:ascii="Times New Roman" w:hAnsi="Times New Roman" w:cs="Times New Roman"/>
          <w:sz w:val="24"/>
        </w:rPr>
        <w:t>miRINgo</w:t>
      </w:r>
      <w:proofErr w:type="spellEnd"/>
      <w:r w:rsidRPr="008B0017">
        <w:rPr>
          <w:rFonts w:ascii="Times New Roman" w:hAnsi="Times New Roman" w:cs="Times New Roman"/>
          <w:sz w:val="24"/>
        </w:rPr>
        <w:t xml:space="preserve">.  </w:t>
      </w: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9B4A42">
      <w:pPr>
        <w:tabs>
          <w:tab w:val="left" w:pos="1980"/>
        </w:tabs>
        <w:jc w:val="center"/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F43D3E" w:rsidRDefault="00F43D3E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Default="00897514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Default="00897514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Default="00897514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Default="00897514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Default="00897514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57717B" w:rsidRDefault="0057717B" w:rsidP="00AF178E">
      <w:pPr>
        <w:tabs>
          <w:tab w:val="left" w:pos="1980"/>
        </w:tabs>
        <w:rPr>
          <w:rFonts w:ascii="Times New Roman" w:hAnsi="Times New Roman" w:cs="Times New Roman"/>
          <w:sz w:val="24"/>
        </w:rPr>
      </w:pPr>
    </w:p>
    <w:p w:rsidR="00897514" w:rsidRPr="0057717B" w:rsidRDefault="0057717B" w:rsidP="00A11778">
      <w:pPr>
        <w:tabs>
          <w:tab w:val="left" w:pos="1980"/>
        </w:tabs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57717B">
        <w:rPr>
          <w:rFonts w:ascii="Times New Roman" w:hAnsi="Times New Roman" w:cs="Times New Roman"/>
          <w:b/>
          <w:sz w:val="24"/>
        </w:rPr>
        <w:lastRenderedPageBreak/>
        <w:t>Supplementary Figure 4.</w:t>
      </w:r>
      <w:r>
        <w:rPr>
          <w:rFonts w:ascii="Times New Roman" w:hAnsi="Times New Roman" w:cs="Times New Roman"/>
          <w:b/>
          <w:sz w:val="24"/>
        </w:rPr>
        <w:t xml:space="preserve"> Overexpression of miR-181b-3p and miR-490-5p in endothelial cells.</w:t>
      </w:r>
    </w:p>
    <w:p w:rsidR="00B80726" w:rsidRDefault="00E05D11" w:rsidP="00E05D11">
      <w:pPr>
        <w:tabs>
          <w:tab w:val="left" w:pos="1980"/>
        </w:tabs>
        <w:spacing w:line="480" w:lineRule="auto"/>
        <w:rPr>
          <w:rFonts w:ascii="Times New Roman" w:hAnsi="Times New Roman" w:cs="Times New Roman"/>
          <w:sz w:val="24"/>
        </w:rPr>
      </w:pPr>
      <w:r w:rsidRPr="00E05D11">
        <w:rPr>
          <w:rFonts w:ascii="Times New Roman" w:hAnsi="Times New Roman" w:cs="Times New Roman"/>
          <w:sz w:val="24"/>
        </w:rPr>
        <w:drawing>
          <wp:inline distT="0" distB="0" distL="0" distR="0" wp14:anchorId="20C8A149" wp14:editId="7238F2F8">
            <wp:extent cx="7017172" cy="39471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738" cy="395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26" w:rsidRDefault="00B80726" w:rsidP="00A11778">
      <w:pPr>
        <w:tabs>
          <w:tab w:val="left" w:pos="1980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Expression of miR-181b-3p</w:t>
      </w:r>
      <w:r w:rsidR="00CD31B1">
        <w:rPr>
          <w:rFonts w:ascii="Times New Roman" w:hAnsi="Times New Roman" w:cs="Times New Roman"/>
          <w:sz w:val="24"/>
        </w:rPr>
        <w:t xml:space="preserve"> (</w:t>
      </w:r>
      <w:r w:rsidR="00CD31B1" w:rsidRPr="00CD31B1">
        <w:rPr>
          <w:rFonts w:ascii="Times New Roman" w:hAnsi="Times New Roman" w:cs="Times New Roman"/>
          <w:b/>
          <w:sz w:val="24"/>
        </w:rPr>
        <w:t>panel A</w:t>
      </w:r>
      <w:r w:rsidR="00CD31B1">
        <w:rPr>
          <w:rFonts w:ascii="Times New Roman" w:hAnsi="Times New Roman" w:cs="Times New Roman"/>
          <w:sz w:val="24"/>
        </w:rPr>
        <w:t xml:space="preserve">) and </w:t>
      </w:r>
      <w:r w:rsidR="00CD31B1" w:rsidRPr="00CD31B1">
        <w:rPr>
          <w:rFonts w:ascii="Times New Roman" w:hAnsi="Times New Roman" w:cs="Times New Roman"/>
          <w:sz w:val="24"/>
        </w:rPr>
        <w:t xml:space="preserve">miR-490-5p </w:t>
      </w:r>
      <w:r w:rsidR="00CD31B1">
        <w:rPr>
          <w:rFonts w:ascii="Times New Roman" w:hAnsi="Times New Roman" w:cs="Times New Roman"/>
          <w:sz w:val="24"/>
        </w:rPr>
        <w:t>(</w:t>
      </w:r>
      <w:r w:rsidR="00CD31B1" w:rsidRPr="00CD31B1">
        <w:rPr>
          <w:rFonts w:ascii="Times New Roman" w:hAnsi="Times New Roman" w:cs="Times New Roman"/>
          <w:b/>
          <w:sz w:val="24"/>
        </w:rPr>
        <w:t>panel B</w:t>
      </w:r>
      <w:r w:rsidR="00CD31B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in endothelial cells</w:t>
      </w:r>
      <w:r w:rsidR="00CD31B1">
        <w:rPr>
          <w:rFonts w:ascii="Times New Roman" w:hAnsi="Times New Roman" w:cs="Times New Roman"/>
          <w:sz w:val="24"/>
        </w:rPr>
        <w:t xml:space="preserve"> after 24 and 72 hours from transient transfection, along with a representative amplification plot of the miRNA of interest after 72 hours</w:t>
      </w:r>
      <w:r>
        <w:rPr>
          <w:rFonts w:ascii="Times New Roman" w:hAnsi="Times New Roman" w:cs="Times New Roman"/>
          <w:sz w:val="24"/>
        </w:rPr>
        <w:t xml:space="preserve">. </w:t>
      </w:r>
      <w:r w:rsidR="00CD31B1">
        <w:rPr>
          <w:rFonts w:ascii="Times New Roman" w:hAnsi="Times New Roman" w:cs="Times New Roman"/>
          <w:sz w:val="24"/>
        </w:rPr>
        <w:t xml:space="preserve">Relative expression level of the </w:t>
      </w:r>
      <w:r>
        <w:rPr>
          <w:rFonts w:ascii="Times New Roman" w:hAnsi="Times New Roman" w:cs="Times New Roman"/>
          <w:sz w:val="24"/>
        </w:rPr>
        <w:t>m</w:t>
      </w:r>
      <w:r w:rsidR="00CD31B1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RNA </w:t>
      </w:r>
      <w:r w:rsidR="00CD31B1">
        <w:rPr>
          <w:rFonts w:ascii="Times New Roman" w:hAnsi="Times New Roman" w:cs="Times New Roman"/>
          <w:sz w:val="24"/>
        </w:rPr>
        <w:t>of interest in</w:t>
      </w:r>
      <w:r>
        <w:rPr>
          <w:rFonts w:ascii="Times New Roman" w:hAnsi="Times New Roman" w:cs="Times New Roman"/>
          <w:sz w:val="24"/>
        </w:rPr>
        <w:t xml:space="preserve"> </w:t>
      </w:r>
      <w:r w:rsidR="00CD31B1" w:rsidRPr="00CD31B1">
        <w:rPr>
          <w:rFonts w:ascii="Times New Roman" w:hAnsi="Times New Roman" w:cs="Times New Roman"/>
          <w:sz w:val="24"/>
        </w:rPr>
        <w:t xml:space="preserve">control cells, cells treated with the scramble miRNA, and cells treated with the </w:t>
      </w:r>
      <w:r w:rsidR="00CD31B1">
        <w:rPr>
          <w:rFonts w:ascii="Times New Roman" w:hAnsi="Times New Roman" w:cs="Times New Roman"/>
          <w:sz w:val="24"/>
        </w:rPr>
        <w:t>miRNA mimic</w:t>
      </w:r>
      <w:r>
        <w:rPr>
          <w:rFonts w:ascii="Times New Roman" w:hAnsi="Times New Roman" w:cs="Times New Roman"/>
          <w:sz w:val="24"/>
        </w:rPr>
        <w:t xml:space="preserve">, presented as fold change over control. </w:t>
      </w:r>
      <w:r w:rsidRPr="00B80726">
        <w:rPr>
          <w:rFonts w:ascii="Times New Roman" w:hAnsi="Times New Roman" w:cs="Times New Roman"/>
          <w:sz w:val="24"/>
        </w:rPr>
        <w:t xml:space="preserve">Data are mean ± SEM of three independent experiments. </w:t>
      </w:r>
      <w:r w:rsidR="00CD31B1" w:rsidRPr="00CD31B1">
        <w:rPr>
          <w:rFonts w:ascii="Times New Roman" w:hAnsi="Times New Roman" w:cs="Times New Roman"/>
          <w:sz w:val="24"/>
        </w:rPr>
        <w:t>*p &lt; 0.05 ANOVA followed by the Holm–</w:t>
      </w:r>
      <w:proofErr w:type="spellStart"/>
      <w:r w:rsidR="00CD31B1" w:rsidRPr="00CD31B1">
        <w:rPr>
          <w:rFonts w:ascii="Times New Roman" w:hAnsi="Times New Roman" w:cs="Times New Roman"/>
          <w:sz w:val="24"/>
        </w:rPr>
        <w:t>Šídák</w:t>
      </w:r>
      <w:proofErr w:type="spellEnd"/>
      <w:r w:rsidR="00CD31B1" w:rsidRPr="00CD31B1">
        <w:rPr>
          <w:rFonts w:ascii="Times New Roman" w:hAnsi="Times New Roman" w:cs="Times New Roman"/>
          <w:sz w:val="24"/>
        </w:rPr>
        <w:t xml:space="preserve"> test.</w:t>
      </w:r>
      <w:r w:rsidR="00CD31B1">
        <w:rPr>
          <w:rFonts w:ascii="Times New Roman" w:hAnsi="Times New Roman" w:cs="Times New Roman"/>
          <w:sz w:val="24"/>
        </w:rPr>
        <w:t xml:space="preserve"> </w:t>
      </w:r>
      <w:bookmarkStart w:id="1" w:name="_GoBack"/>
      <w:bookmarkEnd w:id="1"/>
      <w:r w:rsidR="00CD31B1" w:rsidRPr="00CD31B1">
        <w:rPr>
          <w:rFonts w:ascii="Times New Roman" w:hAnsi="Times New Roman" w:cs="Times New Roman"/>
          <w:sz w:val="24"/>
          <w:szCs w:val="24"/>
        </w:rPr>
        <w:t>In the amplification</w:t>
      </w:r>
      <w:r w:rsidR="00CD31B1">
        <w:rPr>
          <w:rFonts w:ascii="Times New Roman" w:hAnsi="Times New Roman" w:cs="Times New Roman"/>
          <w:sz w:val="24"/>
        </w:rPr>
        <w:t xml:space="preserve"> plots the Y axis is </w:t>
      </w:r>
      <w:proofErr w:type="spellStart"/>
      <w:r w:rsidR="00CD31B1">
        <w:rPr>
          <w:rFonts w:ascii="Times New Roman" w:hAnsi="Times New Roman" w:cs="Times New Roman"/>
          <w:sz w:val="24"/>
        </w:rPr>
        <w:t>ΔRn</w:t>
      </w:r>
      <w:proofErr w:type="spellEnd"/>
      <w:r w:rsidR="00CD31B1">
        <w:rPr>
          <w:rFonts w:ascii="Times New Roman" w:hAnsi="Times New Roman" w:cs="Times New Roman"/>
          <w:sz w:val="24"/>
        </w:rPr>
        <w:t xml:space="preserve"> and the X axis is the number of cycles</w:t>
      </w:r>
      <w:r w:rsidR="00CD31B1" w:rsidRPr="00CD31B1">
        <w:rPr>
          <w:rFonts w:ascii="Times New Roman" w:hAnsi="Times New Roman" w:cs="Times New Roman"/>
          <w:sz w:val="24"/>
        </w:rPr>
        <w:t>.</w:t>
      </w: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A11778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B80726" w:rsidRPr="00B80726" w:rsidRDefault="00B80726" w:rsidP="00B80726">
      <w:pPr>
        <w:rPr>
          <w:rFonts w:ascii="Times New Roman" w:hAnsi="Times New Roman" w:cs="Times New Roman"/>
          <w:sz w:val="24"/>
        </w:rPr>
      </w:pPr>
    </w:p>
    <w:p w:rsidR="00897514" w:rsidRPr="00B80726" w:rsidRDefault="00897514" w:rsidP="00B80726">
      <w:pPr>
        <w:rPr>
          <w:rFonts w:ascii="Times New Roman" w:hAnsi="Times New Roman" w:cs="Times New Roman"/>
          <w:sz w:val="24"/>
        </w:rPr>
      </w:pPr>
    </w:p>
    <w:sectPr w:rsidR="00897514" w:rsidRPr="00B80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F0"/>
    <w:rsid w:val="00001F59"/>
    <w:rsid w:val="00057867"/>
    <w:rsid w:val="00131B4F"/>
    <w:rsid w:val="001467A6"/>
    <w:rsid w:val="002A2437"/>
    <w:rsid w:val="002E1C7F"/>
    <w:rsid w:val="003A102B"/>
    <w:rsid w:val="0057717B"/>
    <w:rsid w:val="005A43E3"/>
    <w:rsid w:val="005D722E"/>
    <w:rsid w:val="00682A5F"/>
    <w:rsid w:val="007D378C"/>
    <w:rsid w:val="008450E5"/>
    <w:rsid w:val="00850838"/>
    <w:rsid w:val="00862452"/>
    <w:rsid w:val="00897514"/>
    <w:rsid w:val="008B0017"/>
    <w:rsid w:val="008D7C52"/>
    <w:rsid w:val="009937F0"/>
    <w:rsid w:val="009B4A42"/>
    <w:rsid w:val="00A11778"/>
    <w:rsid w:val="00A60009"/>
    <w:rsid w:val="00A61E84"/>
    <w:rsid w:val="00AF178E"/>
    <w:rsid w:val="00B3265E"/>
    <w:rsid w:val="00B74496"/>
    <w:rsid w:val="00B80726"/>
    <w:rsid w:val="00BA1B4F"/>
    <w:rsid w:val="00C032B9"/>
    <w:rsid w:val="00C57AC3"/>
    <w:rsid w:val="00C878E3"/>
    <w:rsid w:val="00C918B1"/>
    <w:rsid w:val="00CA6239"/>
    <w:rsid w:val="00CD31B1"/>
    <w:rsid w:val="00D27FC5"/>
    <w:rsid w:val="00D442F0"/>
    <w:rsid w:val="00DC125D"/>
    <w:rsid w:val="00DD053F"/>
    <w:rsid w:val="00E05D11"/>
    <w:rsid w:val="00E13B07"/>
    <w:rsid w:val="00E51124"/>
    <w:rsid w:val="00EA2B09"/>
    <w:rsid w:val="00EE7691"/>
    <w:rsid w:val="00EF7359"/>
    <w:rsid w:val="00F43D3E"/>
    <w:rsid w:val="00F86492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FFCB"/>
  <w15:chartTrackingRefBased/>
  <w15:docId w15:val="{33F6D5E4-7394-4F61-9009-4C8848F3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2452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Multimedica SpA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Grotta Rosalba</dc:creator>
  <cp:keywords/>
  <dc:description/>
  <cp:lastModifiedBy>Prattichizzo, Francesco</cp:lastModifiedBy>
  <cp:revision>2</cp:revision>
  <dcterms:created xsi:type="dcterms:W3CDTF">2026-05-14T10:44:00Z</dcterms:created>
  <dcterms:modified xsi:type="dcterms:W3CDTF">2026-05-14T10:44:00Z</dcterms:modified>
</cp:coreProperties>
</file>