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70312" w14:textId="77777777" w:rsidR="00A13A0D" w:rsidRPr="00D50C58" w:rsidRDefault="00A13A0D" w:rsidP="00A13A0D">
      <w:pPr>
        <w:snapToGrid w:val="0"/>
        <w:spacing w:line="480" w:lineRule="auto"/>
        <w:rPr>
          <w:rFonts w:cs="Times New Roman"/>
          <w:b/>
          <w:bCs/>
          <w:color w:val="000000" w:themeColor="text1"/>
        </w:rPr>
      </w:pPr>
      <w:r w:rsidRPr="00D50C58">
        <w:rPr>
          <w:rFonts w:cs="Times New Roman"/>
          <w:b/>
          <w:bCs/>
          <w:color w:val="000000" w:themeColor="text1"/>
        </w:rPr>
        <w:t>Table 1. Patients’ baseline characteristics</w:t>
      </w:r>
    </w:p>
    <w:tbl>
      <w:tblPr>
        <w:tblpPr w:leftFromText="142" w:rightFromText="142" w:vertAnchor="text" w:horzAnchor="margin" w:tblpXSpec="center" w:tblpY="287"/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2"/>
        <w:gridCol w:w="3608"/>
        <w:gridCol w:w="3608"/>
      </w:tblGrid>
      <w:tr w:rsidR="00A13A0D" w:rsidRPr="00D50C58" w14:paraId="6CDC7961" w14:textId="77777777" w:rsidTr="006F6088">
        <w:trPr>
          <w:trHeight w:val="304"/>
        </w:trPr>
        <w:tc>
          <w:tcPr>
            <w:tcW w:w="2282" w:type="dxa"/>
            <w:tcBorders>
              <w:top w:val="single" w:sz="18" w:space="0" w:color="auto"/>
              <w:bottom w:val="single" w:sz="8" w:space="0" w:color="auto"/>
            </w:tcBorders>
            <w:tcMar>
              <w:top w:w="22" w:type="dxa"/>
              <w:left w:w="22" w:type="dxa"/>
              <w:bottom w:w="27" w:type="dxa"/>
              <w:right w:w="22" w:type="dxa"/>
            </w:tcMar>
            <w:hideMark/>
          </w:tcPr>
          <w:p w14:paraId="47ADAB18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</w:rPr>
              <w:t>Characteristic</w:t>
            </w:r>
          </w:p>
        </w:tc>
        <w:tc>
          <w:tcPr>
            <w:tcW w:w="3608" w:type="dxa"/>
            <w:tcBorders>
              <w:top w:val="single" w:sz="18" w:space="0" w:color="auto"/>
              <w:bottom w:val="single" w:sz="8" w:space="0" w:color="auto"/>
            </w:tcBorders>
            <w:tcMar>
              <w:top w:w="22" w:type="dxa"/>
              <w:left w:w="22" w:type="dxa"/>
              <w:bottom w:w="27" w:type="dxa"/>
              <w:right w:w="22" w:type="dxa"/>
            </w:tcMar>
            <w:hideMark/>
          </w:tcPr>
          <w:p w14:paraId="6C89A496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  <w:kern w:val="24"/>
              </w:rPr>
              <w:t>Control arm</w:t>
            </w:r>
            <w:r w:rsidRPr="00D50C58">
              <w:rPr>
                <w:rFonts w:cs="Times New Roman"/>
                <w:b/>
                <w:bCs/>
                <w:color w:val="000000" w:themeColor="text1"/>
              </w:rPr>
              <w:br/>
              <w:t>N = 12</w:t>
            </w:r>
          </w:p>
        </w:tc>
        <w:tc>
          <w:tcPr>
            <w:tcW w:w="3608" w:type="dxa"/>
            <w:tcBorders>
              <w:top w:val="single" w:sz="18" w:space="0" w:color="auto"/>
              <w:bottom w:val="single" w:sz="8" w:space="0" w:color="auto"/>
            </w:tcBorders>
            <w:tcMar>
              <w:top w:w="22" w:type="dxa"/>
              <w:left w:w="22" w:type="dxa"/>
              <w:bottom w:w="27" w:type="dxa"/>
              <w:right w:w="22" w:type="dxa"/>
            </w:tcMar>
            <w:hideMark/>
          </w:tcPr>
          <w:p w14:paraId="777C0BC5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  <w:kern w:val="24"/>
              </w:rPr>
              <w:t>Investigation arm</w:t>
            </w:r>
            <w:r w:rsidRPr="00D50C58">
              <w:rPr>
                <w:rFonts w:cs="Times New Roman"/>
                <w:b/>
                <w:bCs/>
                <w:color w:val="000000" w:themeColor="text1"/>
              </w:rPr>
              <w:br/>
              <w:t>N = 10</w:t>
            </w:r>
          </w:p>
        </w:tc>
      </w:tr>
      <w:tr w:rsidR="00A13A0D" w:rsidRPr="00D50C58" w14:paraId="2EFAD08A" w14:textId="77777777" w:rsidTr="006F6088">
        <w:trPr>
          <w:trHeight w:val="241"/>
        </w:trPr>
        <w:tc>
          <w:tcPr>
            <w:tcW w:w="2282" w:type="dxa"/>
            <w:tcBorders>
              <w:top w:val="single" w:sz="8" w:space="0" w:color="auto"/>
            </w:tcBorders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61295EF8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</w:rPr>
              <w:t>Baseline data</w:t>
            </w:r>
          </w:p>
        </w:tc>
        <w:tc>
          <w:tcPr>
            <w:tcW w:w="3608" w:type="dxa"/>
            <w:tcBorders>
              <w:top w:val="single" w:sz="8" w:space="0" w:color="auto"/>
            </w:tcBorders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0B2D3D1E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3608" w:type="dxa"/>
            <w:tcBorders>
              <w:top w:val="single" w:sz="8" w:space="0" w:color="auto"/>
            </w:tcBorders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618E6663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</w:p>
        </w:tc>
      </w:tr>
      <w:tr w:rsidR="00A13A0D" w:rsidRPr="00D50C58" w14:paraId="47397820" w14:textId="77777777" w:rsidTr="006F6088">
        <w:trPr>
          <w:trHeight w:val="241"/>
        </w:trPr>
        <w:tc>
          <w:tcPr>
            <w:tcW w:w="2282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671EF92D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</w:rPr>
              <w:t>Age</w:t>
            </w:r>
          </w:p>
        </w:tc>
        <w:tc>
          <w:tcPr>
            <w:tcW w:w="3608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2A4A1249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65.50 (60.50</w:t>
            </w:r>
            <w:r w:rsidRPr="00D50C58">
              <w:rPr>
                <w:rFonts w:cs="Times New Roman"/>
              </w:rPr>
              <w:t>–</w:t>
            </w:r>
            <w:r w:rsidRPr="00D50C58">
              <w:rPr>
                <w:rFonts w:cs="Times New Roman"/>
                <w:color w:val="000000" w:themeColor="text1"/>
              </w:rPr>
              <w:t>71.50)</w:t>
            </w:r>
          </w:p>
        </w:tc>
        <w:tc>
          <w:tcPr>
            <w:tcW w:w="3608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76AC3350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61.00 (52.00</w:t>
            </w:r>
            <w:r w:rsidRPr="00D50C58">
              <w:rPr>
                <w:rFonts w:cs="Times New Roman"/>
              </w:rPr>
              <w:t>–</w:t>
            </w:r>
            <w:r w:rsidRPr="00D50C58">
              <w:rPr>
                <w:rFonts w:cs="Times New Roman"/>
                <w:color w:val="000000" w:themeColor="text1"/>
              </w:rPr>
              <w:t>69.00)</w:t>
            </w:r>
          </w:p>
        </w:tc>
      </w:tr>
      <w:tr w:rsidR="00A13A0D" w:rsidRPr="00D50C58" w14:paraId="4684C3A4" w14:textId="77777777" w:rsidTr="006F6088">
        <w:trPr>
          <w:trHeight w:val="156"/>
        </w:trPr>
        <w:tc>
          <w:tcPr>
            <w:tcW w:w="2282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02C24B68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</w:rPr>
              <w:t>Sex</w:t>
            </w:r>
          </w:p>
        </w:tc>
        <w:tc>
          <w:tcPr>
            <w:tcW w:w="3608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72D377D8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3608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35A999F9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</w:p>
        </w:tc>
      </w:tr>
      <w:tr w:rsidR="00A13A0D" w:rsidRPr="00D50C58" w14:paraId="4B9FBB04" w14:textId="77777777" w:rsidTr="006F6088">
        <w:trPr>
          <w:trHeight w:val="156"/>
        </w:trPr>
        <w:tc>
          <w:tcPr>
            <w:tcW w:w="2282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6E5250C7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</w:rPr>
              <w:t>    Female</w:t>
            </w:r>
          </w:p>
        </w:tc>
        <w:tc>
          <w:tcPr>
            <w:tcW w:w="3608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66F1D934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4 (33.3%)</w:t>
            </w:r>
          </w:p>
        </w:tc>
        <w:tc>
          <w:tcPr>
            <w:tcW w:w="3608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672683EB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2 (20.0%)</w:t>
            </w:r>
          </w:p>
        </w:tc>
      </w:tr>
      <w:tr w:rsidR="00A13A0D" w:rsidRPr="00D50C58" w14:paraId="4BCD8667" w14:textId="77777777" w:rsidTr="006F6088">
        <w:trPr>
          <w:trHeight w:val="156"/>
        </w:trPr>
        <w:tc>
          <w:tcPr>
            <w:tcW w:w="2282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49D670D4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</w:rPr>
              <w:t>    Male</w:t>
            </w:r>
          </w:p>
        </w:tc>
        <w:tc>
          <w:tcPr>
            <w:tcW w:w="3608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42B34FD4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8 (66.7%)</w:t>
            </w:r>
          </w:p>
        </w:tc>
        <w:tc>
          <w:tcPr>
            <w:tcW w:w="3608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740A578C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8 (80.0%)</w:t>
            </w:r>
          </w:p>
        </w:tc>
      </w:tr>
      <w:tr w:rsidR="00A13A0D" w:rsidRPr="00D50C58" w14:paraId="21D50E0C" w14:textId="77777777" w:rsidTr="006F6088">
        <w:trPr>
          <w:trHeight w:val="156"/>
        </w:trPr>
        <w:tc>
          <w:tcPr>
            <w:tcW w:w="2282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26A9F0AA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</w:rPr>
              <w:t>Body weight (kg)</w:t>
            </w:r>
          </w:p>
        </w:tc>
        <w:tc>
          <w:tcPr>
            <w:tcW w:w="3608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60827C07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56.00 (41.60</w:t>
            </w:r>
            <w:r w:rsidRPr="00D50C58">
              <w:rPr>
                <w:rFonts w:cs="Times New Roman"/>
              </w:rPr>
              <w:t>–</w:t>
            </w:r>
            <w:r w:rsidRPr="00D50C58">
              <w:rPr>
                <w:rFonts w:cs="Times New Roman"/>
                <w:color w:val="000000" w:themeColor="text1"/>
              </w:rPr>
              <w:t>63.50)</w:t>
            </w:r>
          </w:p>
        </w:tc>
        <w:tc>
          <w:tcPr>
            <w:tcW w:w="3608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08DD0352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58.55 (48.00</w:t>
            </w:r>
            <w:r w:rsidRPr="00D50C58">
              <w:rPr>
                <w:rFonts w:cs="Times New Roman"/>
              </w:rPr>
              <w:t>–</w:t>
            </w:r>
            <w:r w:rsidRPr="00D50C58">
              <w:rPr>
                <w:rFonts w:cs="Times New Roman"/>
                <w:color w:val="000000" w:themeColor="text1"/>
              </w:rPr>
              <w:t>65.20)</w:t>
            </w:r>
          </w:p>
        </w:tc>
      </w:tr>
      <w:tr w:rsidR="00A13A0D" w:rsidRPr="00D50C58" w14:paraId="5ECB6296" w14:textId="77777777" w:rsidTr="006F6088">
        <w:trPr>
          <w:trHeight w:val="156"/>
        </w:trPr>
        <w:tc>
          <w:tcPr>
            <w:tcW w:w="2282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0588B11D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</w:rPr>
              <w:t>SMM (kg)</w:t>
            </w:r>
          </w:p>
        </w:tc>
        <w:tc>
          <w:tcPr>
            <w:tcW w:w="3608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67FF5556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27.85 (20.30</w:t>
            </w:r>
            <w:r w:rsidRPr="00D50C58">
              <w:rPr>
                <w:rFonts w:cs="Times New Roman"/>
              </w:rPr>
              <w:t>–</w:t>
            </w:r>
            <w:r w:rsidRPr="00D50C58">
              <w:rPr>
                <w:rFonts w:cs="Times New Roman"/>
                <w:color w:val="000000" w:themeColor="text1"/>
              </w:rPr>
              <w:t>31.80)</w:t>
            </w:r>
          </w:p>
        </w:tc>
        <w:tc>
          <w:tcPr>
            <w:tcW w:w="3608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4979C019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28.80 (23.80</w:t>
            </w:r>
            <w:r w:rsidRPr="00D50C58">
              <w:rPr>
                <w:rFonts w:cs="Times New Roman"/>
              </w:rPr>
              <w:t>–</w:t>
            </w:r>
            <w:r w:rsidRPr="00D50C58">
              <w:rPr>
                <w:rFonts w:cs="Times New Roman"/>
                <w:color w:val="000000" w:themeColor="text1"/>
              </w:rPr>
              <w:t>31.90)</w:t>
            </w:r>
          </w:p>
        </w:tc>
      </w:tr>
      <w:tr w:rsidR="00A13A0D" w:rsidRPr="00D50C58" w14:paraId="5FAB61F8" w14:textId="77777777" w:rsidTr="006F6088">
        <w:trPr>
          <w:trHeight w:val="156"/>
        </w:trPr>
        <w:tc>
          <w:tcPr>
            <w:tcW w:w="2282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3B91F6B9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</w:rPr>
              <w:t>Height (cm)</w:t>
            </w:r>
          </w:p>
        </w:tc>
        <w:tc>
          <w:tcPr>
            <w:tcW w:w="3608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69B2F610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167.00 (159.95</w:t>
            </w:r>
            <w:r w:rsidRPr="00D50C58">
              <w:rPr>
                <w:rFonts w:cs="Times New Roman"/>
              </w:rPr>
              <w:t>–</w:t>
            </w:r>
            <w:r w:rsidRPr="00D50C58">
              <w:rPr>
                <w:rFonts w:cs="Times New Roman"/>
                <w:color w:val="000000" w:themeColor="text1"/>
              </w:rPr>
              <w:t>170.10)</w:t>
            </w:r>
          </w:p>
        </w:tc>
        <w:tc>
          <w:tcPr>
            <w:tcW w:w="3608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1196C25F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166.75 (158.00</w:t>
            </w:r>
            <w:r w:rsidRPr="00D50C58">
              <w:rPr>
                <w:rFonts w:cs="Times New Roman"/>
              </w:rPr>
              <w:t>–</w:t>
            </w:r>
            <w:r w:rsidRPr="00D50C58">
              <w:rPr>
                <w:rFonts w:cs="Times New Roman"/>
                <w:color w:val="000000" w:themeColor="text1"/>
              </w:rPr>
              <w:t>175.60)</w:t>
            </w:r>
          </w:p>
        </w:tc>
      </w:tr>
      <w:tr w:rsidR="00A13A0D" w:rsidRPr="00D50C58" w14:paraId="63D09CD7" w14:textId="77777777" w:rsidTr="006F6088">
        <w:trPr>
          <w:trHeight w:val="156"/>
        </w:trPr>
        <w:tc>
          <w:tcPr>
            <w:tcW w:w="2282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4CDA4E6B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</w:rPr>
              <w:t>SMI (kg/m</w:t>
            </w:r>
            <w:r w:rsidRPr="00D50C58">
              <w:rPr>
                <w:rFonts w:cs="Times New Roman"/>
                <w:b/>
                <w:bCs/>
                <w:color w:val="000000" w:themeColor="text1"/>
                <w:vertAlign w:val="superscript"/>
              </w:rPr>
              <w:t>2</w:t>
            </w:r>
            <w:r w:rsidRPr="00D50C58">
              <w:rPr>
                <w:rFonts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3608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6DFF4B37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9.95 (7.91</w:t>
            </w:r>
            <w:r w:rsidRPr="00D50C58">
              <w:rPr>
                <w:rFonts w:cs="Times New Roman"/>
              </w:rPr>
              <w:t>–</w:t>
            </w:r>
            <w:r w:rsidRPr="00D50C58">
              <w:rPr>
                <w:rFonts w:cs="Times New Roman"/>
                <w:color w:val="000000" w:themeColor="text1"/>
              </w:rPr>
              <w:t>11.06)</w:t>
            </w:r>
          </w:p>
        </w:tc>
        <w:tc>
          <w:tcPr>
            <w:tcW w:w="3608" w:type="dxa"/>
            <w:tcMar>
              <w:top w:w="35" w:type="dxa"/>
              <w:left w:w="22" w:type="dxa"/>
              <w:bottom w:w="35" w:type="dxa"/>
              <w:right w:w="22" w:type="dxa"/>
            </w:tcMar>
            <w:hideMark/>
          </w:tcPr>
          <w:p w14:paraId="75F56FD8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10.08 (9.44</w:t>
            </w:r>
            <w:r w:rsidRPr="00D50C58">
              <w:rPr>
                <w:rFonts w:cs="Times New Roman"/>
              </w:rPr>
              <w:t>–</w:t>
            </w:r>
            <w:r w:rsidRPr="00D50C58">
              <w:rPr>
                <w:rFonts w:cs="Times New Roman"/>
                <w:color w:val="000000" w:themeColor="text1"/>
              </w:rPr>
              <w:t>10.78)</w:t>
            </w:r>
          </w:p>
        </w:tc>
      </w:tr>
      <w:tr w:rsidR="00A13A0D" w:rsidRPr="00D50C58" w14:paraId="2E3A657C" w14:textId="77777777" w:rsidTr="006F6088">
        <w:trPr>
          <w:trHeight w:val="156"/>
        </w:trPr>
        <w:tc>
          <w:tcPr>
            <w:tcW w:w="5890" w:type="dxa"/>
            <w:gridSpan w:val="2"/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551DC92F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</w:rPr>
              <w:t>Tumor-related data</w:t>
            </w:r>
          </w:p>
        </w:tc>
        <w:tc>
          <w:tcPr>
            <w:tcW w:w="3608" w:type="dxa"/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72BBEB2F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</w:p>
        </w:tc>
      </w:tr>
      <w:tr w:rsidR="00A13A0D" w:rsidRPr="00D50C58" w14:paraId="21374DFD" w14:textId="77777777" w:rsidTr="006F6088">
        <w:trPr>
          <w:trHeight w:val="156"/>
        </w:trPr>
        <w:tc>
          <w:tcPr>
            <w:tcW w:w="2282" w:type="dxa"/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1153FFD2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</w:rPr>
              <w:t>cT</w:t>
            </w:r>
          </w:p>
          <w:p w14:paraId="5E89D07D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</w:rPr>
              <w:t xml:space="preserve"> 1</w:t>
            </w:r>
          </w:p>
          <w:p w14:paraId="681023E6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</w:rPr>
              <w:t xml:space="preserve"> 2</w:t>
            </w:r>
          </w:p>
          <w:p w14:paraId="4E3E1C40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</w:rPr>
              <w:t xml:space="preserve"> 3</w:t>
            </w:r>
          </w:p>
          <w:p w14:paraId="3FCE9A18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</w:rPr>
              <w:t xml:space="preserve"> 4</w:t>
            </w:r>
          </w:p>
        </w:tc>
        <w:tc>
          <w:tcPr>
            <w:tcW w:w="3608" w:type="dxa"/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73FA5233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</w:p>
          <w:p w14:paraId="6530534E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2 (16.7%)</w:t>
            </w:r>
          </w:p>
          <w:p w14:paraId="09F8BD04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3 (25.0%)</w:t>
            </w:r>
          </w:p>
          <w:p w14:paraId="26780897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7 (58.3%)</w:t>
            </w:r>
          </w:p>
          <w:p w14:paraId="65EE3CEE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0 (0.0%)</w:t>
            </w:r>
          </w:p>
        </w:tc>
        <w:tc>
          <w:tcPr>
            <w:tcW w:w="3608" w:type="dxa"/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7FA45983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</w:p>
          <w:p w14:paraId="5F0AFBBC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1 (10.0%)</w:t>
            </w:r>
          </w:p>
          <w:p w14:paraId="436852F5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3 (30.0%)</w:t>
            </w:r>
          </w:p>
          <w:p w14:paraId="14435DEB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6 (60.0%)</w:t>
            </w:r>
          </w:p>
          <w:p w14:paraId="7776BCD6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0 (0.0%)</w:t>
            </w:r>
          </w:p>
        </w:tc>
      </w:tr>
      <w:tr w:rsidR="00A13A0D" w:rsidRPr="00D50C58" w14:paraId="6EE948CF" w14:textId="77777777" w:rsidTr="006F6088">
        <w:trPr>
          <w:trHeight w:val="156"/>
        </w:trPr>
        <w:tc>
          <w:tcPr>
            <w:tcW w:w="2282" w:type="dxa"/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61B79A48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</w:rPr>
              <w:t>cN</w:t>
            </w:r>
          </w:p>
          <w:p w14:paraId="5BA69EE9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</w:rPr>
              <w:t xml:space="preserve"> 0</w:t>
            </w:r>
          </w:p>
          <w:p w14:paraId="222B39EC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</w:rPr>
              <w:t xml:space="preserve"> 1</w:t>
            </w:r>
          </w:p>
          <w:p w14:paraId="6F59CE13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</w:rPr>
              <w:t xml:space="preserve"> 2</w:t>
            </w:r>
          </w:p>
          <w:p w14:paraId="6343A9B5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</w:rPr>
              <w:lastRenderedPageBreak/>
              <w:t xml:space="preserve"> 3</w:t>
            </w:r>
          </w:p>
          <w:p w14:paraId="35D279DE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</w:rPr>
              <w:t xml:space="preserve"> 4</w:t>
            </w:r>
          </w:p>
        </w:tc>
        <w:tc>
          <w:tcPr>
            <w:tcW w:w="3608" w:type="dxa"/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669A0FD0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</w:p>
          <w:p w14:paraId="3F5D9A6B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3 (25.0%)</w:t>
            </w:r>
          </w:p>
          <w:p w14:paraId="04F9DE61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5 (41.7%)</w:t>
            </w:r>
          </w:p>
          <w:p w14:paraId="00D4EB1C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4 (33.3%)</w:t>
            </w:r>
          </w:p>
          <w:p w14:paraId="034C49AC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lastRenderedPageBreak/>
              <w:t>0 (0.0%)</w:t>
            </w:r>
          </w:p>
          <w:p w14:paraId="20B2FD51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0 (0.0%)</w:t>
            </w:r>
          </w:p>
        </w:tc>
        <w:tc>
          <w:tcPr>
            <w:tcW w:w="3608" w:type="dxa"/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0DACC363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</w:p>
          <w:p w14:paraId="37D06593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1 (10.0%)</w:t>
            </w:r>
          </w:p>
          <w:p w14:paraId="50D587DD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6 (60.0%)</w:t>
            </w:r>
          </w:p>
          <w:p w14:paraId="2ACA0825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1 (10.0%)</w:t>
            </w:r>
          </w:p>
          <w:p w14:paraId="23A74BA2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lastRenderedPageBreak/>
              <w:t>1 (10.0%)</w:t>
            </w:r>
          </w:p>
          <w:p w14:paraId="640D57AC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1 (10.0%)</w:t>
            </w:r>
          </w:p>
        </w:tc>
      </w:tr>
      <w:tr w:rsidR="00A13A0D" w:rsidRPr="00D50C58" w14:paraId="652064A8" w14:textId="77777777" w:rsidTr="006F6088">
        <w:trPr>
          <w:trHeight w:val="156"/>
        </w:trPr>
        <w:tc>
          <w:tcPr>
            <w:tcW w:w="2282" w:type="dxa"/>
            <w:tcBorders>
              <w:bottom w:val="single" w:sz="18" w:space="0" w:color="auto"/>
            </w:tcBorders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069B198D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</w:rPr>
              <w:lastRenderedPageBreak/>
              <w:t>Tumor size (mm)</w:t>
            </w:r>
          </w:p>
        </w:tc>
        <w:tc>
          <w:tcPr>
            <w:tcW w:w="3608" w:type="dxa"/>
            <w:tcBorders>
              <w:bottom w:val="single" w:sz="18" w:space="0" w:color="auto"/>
            </w:tcBorders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072FDC84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44.0 (32.5</w:t>
            </w:r>
            <w:r w:rsidRPr="00D50C58">
              <w:rPr>
                <w:rFonts w:cs="Times New Roman"/>
              </w:rPr>
              <w:t>–</w:t>
            </w:r>
            <w:r w:rsidRPr="00D50C58">
              <w:rPr>
                <w:rFonts w:cs="Times New Roman"/>
                <w:color w:val="000000" w:themeColor="text1"/>
              </w:rPr>
              <w:t>55.0)</w:t>
            </w:r>
          </w:p>
        </w:tc>
        <w:tc>
          <w:tcPr>
            <w:tcW w:w="3608" w:type="dxa"/>
            <w:tcBorders>
              <w:bottom w:val="single" w:sz="18" w:space="0" w:color="auto"/>
            </w:tcBorders>
            <w:tcMar>
              <w:top w:w="35" w:type="dxa"/>
              <w:left w:w="22" w:type="dxa"/>
              <w:bottom w:w="35" w:type="dxa"/>
              <w:right w:w="22" w:type="dxa"/>
            </w:tcMar>
          </w:tcPr>
          <w:p w14:paraId="522B6076" w14:textId="77777777" w:rsidR="00A13A0D" w:rsidRPr="00D50C58" w:rsidRDefault="00A13A0D" w:rsidP="006F6088">
            <w:pPr>
              <w:snapToGrid w:val="0"/>
              <w:spacing w:line="480" w:lineRule="auto"/>
              <w:rPr>
                <w:rFonts w:cs="Times New Roman"/>
                <w:color w:val="000000" w:themeColor="text1"/>
              </w:rPr>
            </w:pPr>
            <w:r w:rsidRPr="00D50C58">
              <w:rPr>
                <w:rFonts w:cs="Times New Roman"/>
                <w:color w:val="000000" w:themeColor="text1"/>
              </w:rPr>
              <w:t>40.0 (39.0</w:t>
            </w:r>
            <w:r w:rsidRPr="00D50C58">
              <w:rPr>
                <w:rFonts w:cs="Times New Roman"/>
              </w:rPr>
              <w:t>–</w:t>
            </w:r>
            <w:r w:rsidRPr="00D50C58">
              <w:rPr>
                <w:rFonts w:cs="Times New Roman"/>
                <w:color w:val="000000" w:themeColor="text1"/>
              </w:rPr>
              <w:t>60.0)</w:t>
            </w:r>
          </w:p>
        </w:tc>
      </w:tr>
    </w:tbl>
    <w:p w14:paraId="26C28069" w14:textId="77777777" w:rsidR="00A13A0D" w:rsidRDefault="00A13A0D" w:rsidP="00A13A0D">
      <w:pPr>
        <w:snapToGrid w:val="0"/>
        <w:spacing w:line="480" w:lineRule="auto"/>
        <w:rPr>
          <w:rFonts w:cs="Times New Roman"/>
        </w:rPr>
      </w:pPr>
      <w:r w:rsidRPr="00D50C58">
        <w:rPr>
          <w:rFonts w:cs="Times New Roman"/>
        </w:rPr>
        <w:t>Data were presented as numbers (percentages) or medians (interquartile ranges).</w:t>
      </w:r>
    </w:p>
    <w:p w14:paraId="0EC50DE5" w14:textId="77777777" w:rsidR="00A13A0D" w:rsidRPr="00D50C58" w:rsidRDefault="00A13A0D" w:rsidP="00A13A0D">
      <w:pPr>
        <w:snapToGrid w:val="0"/>
        <w:spacing w:line="480" w:lineRule="auto"/>
        <w:rPr>
          <w:rFonts w:cs="Times New Roman"/>
          <w:color w:val="000000" w:themeColor="text1"/>
        </w:rPr>
      </w:pPr>
      <w:r w:rsidRPr="00996E1D">
        <w:rPr>
          <w:color w:val="000000" w:themeColor="text1"/>
        </w:rPr>
        <w:t xml:space="preserve">Abbreviations: </w:t>
      </w:r>
      <w:r w:rsidRPr="00996E1D">
        <w:rPr>
          <w:i/>
          <w:color w:val="000000" w:themeColor="text1"/>
        </w:rPr>
        <w:t>S</w:t>
      </w:r>
      <w:r>
        <w:rPr>
          <w:i/>
          <w:color w:val="000000" w:themeColor="text1"/>
        </w:rPr>
        <w:t>MM</w:t>
      </w:r>
      <w:r w:rsidRPr="00996E1D">
        <w:rPr>
          <w:color w:val="000000" w:themeColor="text1"/>
        </w:rPr>
        <w:t xml:space="preserve">, </w:t>
      </w:r>
      <w:r>
        <w:rPr>
          <w:color w:val="000000" w:themeColor="text1"/>
        </w:rPr>
        <w:t>skeletal muscle mass</w:t>
      </w:r>
      <w:r w:rsidRPr="00996E1D">
        <w:rPr>
          <w:color w:val="000000" w:themeColor="text1"/>
        </w:rPr>
        <w:t xml:space="preserve">; </w:t>
      </w:r>
      <w:r>
        <w:rPr>
          <w:i/>
          <w:color w:val="000000" w:themeColor="text1"/>
        </w:rPr>
        <w:t>SMI</w:t>
      </w:r>
      <w:r w:rsidRPr="00996E1D">
        <w:rPr>
          <w:color w:val="000000" w:themeColor="text1"/>
        </w:rPr>
        <w:t xml:space="preserve">, </w:t>
      </w:r>
      <w:r>
        <w:rPr>
          <w:color w:val="000000" w:themeColor="text1"/>
        </w:rPr>
        <w:t>skeletal muscle mass index</w:t>
      </w:r>
      <w:r w:rsidRPr="00996E1D">
        <w:rPr>
          <w:color w:val="000000" w:themeColor="text1"/>
        </w:rPr>
        <w:t xml:space="preserve">; </w:t>
      </w:r>
      <w:r>
        <w:rPr>
          <w:i/>
          <w:color w:val="000000" w:themeColor="text1"/>
        </w:rPr>
        <w:t>cT</w:t>
      </w:r>
      <w:r w:rsidRPr="00996E1D">
        <w:rPr>
          <w:color w:val="000000" w:themeColor="text1"/>
        </w:rPr>
        <w:t xml:space="preserve">, </w:t>
      </w:r>
      <w:r>
        <w:rPr>
          <w:color w:val="000000" w:themeColor="text1"/>
        </w:rPr>
        <w:t>clinical tumor depth</w:t>
      </w:r>
      <w:r w:rsidRPr="00996E1D">
        <w:rPr>
          <w:color w:val="000000" w:themeColor="text1"/>
        </w:rPr>
        <w:t xml:space="preserve">; </w:t>
      </w:r>
      <w:r>
        <w:rPr>
          <w:i/>
          <w:color w:val="000000" w:themeColor="text1"/>
        </w:rPr>
        <w:t>cN</w:t>
      </w:r>
      <w:r w:rsidRPr="00996E1D">
        <w:rPr>
          <w:color w:val="000000" w:themeColor="text1"/>
        </w:rPr>
        <w:t xml:space="preserve">, </w:t>
      </w:r>
      <w:r>
        <w:rPr>
          <w:color w:val="000000" w:themeColor="text1"/>
        </w:rPr>
        <w:t>clinical lymph node metastasis</w:t>
      </w:r>
      <w:r w:rsidRPr="00996E1D">
        <w:rPr>
          <w:color w:val="000000" w:themeColor="text1"/>
        </w:rPr>
        <w:t>;</w:t>
      </w:r>
      <w:r>
        <w:rPr>
          <w:color w:val="000000" w:themeColor="text1"/>
        </w:rPr>
        <w:t xml:space="preserve"> </w:t>
      </w:r>
      <w:r>
        <w:rPr>
          <w:i/>
          <w:iCs/>
          <w:color w:val="000000" w:themeColor="text1"/>
        </w:rPr>
        <w:t>cM</w:t>
      </w:r>
      <w:r w:rsidRPr="00996E1D">
        <w:rPr>
          <w:color w:val="000000" w:themeColor="text1"/>
        </w:rPr>
        <w:t xml:space="preserve">, </w:t>
      </w:r>
      <w:r>
        <w:rPr>
          <w:color w:val="000000" w:themeColor="text1"/>
        </w:rPr>
        <w:t>clinical distant metastasis</w:t>
      </w:r>
    </w:p>
    <w:p w14:paraId="38B2C430" w14:textId="77777777" w:rsidR="00A13A0D" w:rsidRDefault="00A13A0D" w:rsidP="00A13A0D">
      <w:pPr>
        <w:spacing w:line="480" w:lineRule="auto"/>
        <w:rPr>
          <w:rFonts w:cs="Times New Roman"/>
          <w:color w:val="000000" w:themeColor="text1"/>
        </w:rPr>
      </w:pPr>
    </w:p>
    <w:p w14:paraId="3D1D2F8B" w14:textId="77777777" w:rsidR="00A13A0D" w:rsidRPr="00D50C58" w:rsidRDefault="00A13A0D" w:rsidP="00A13A0D">
      <w:pPr>
        <w:snapToGrid w:val="0"/>
        <w:spacing w:line="480" w:lineRule="auto"/>
        <w:rPr>
          <w:rFonts w:cs="Times New Roman"/>
          <w:b/>
          <w:bCs/>
          <w:color w:val="000000" w:themeColor="text1"/>
        </w:rPr>
      </w:pPr>
      <w:r w:rsidRPr="00D50C58">
        <w:rPr>
          <w:rFonts w:cs="Times New Roman"/>
          <w:b/>
          <w:bCs/>
          <w:color w:val="000000" w:themeColor="text1"/>
        </w:rPr>
        <w:t>Table 2. Primary endpoint</w:t>
      </w:r>
    </w:p>
    <w:tbl>
      <w:tblPr>
        <w:tblStyle w:val="TableGrid"/>
        <w:tblW w:w="5000" w:type="pct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A13A0D" w:rsidRPr="00D50C58" w14:paraId="53816D61" w14:textId="77777777" w:rsidTr="006F6088">
        <w:trPr>
          <w:cantSplit/>
        </w:trPr>
        <w:tc>
          <w:tcPr>
            <w:tcW w:w="1250" w:type="pct"/>
            <w:tcBorders>
              <w:bottom w:val="single" w:sz="8" w:space="0" w:color="auto"/>
            </w:tcBorders>
          </w:tcPr>
          <w:p w14:paraId="23B5B3A0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t>Outcome</w:t>
            </w:r>
          </w:p>
        </w:tc>
        <w:tc>
          <w:tcPr>
            <w:tcW w:w="1250" w:type="pct"/>
            <w:tcBorders>
              <w:bottom w:val="single" w:sz="8" w:space="0" w:color="auto"/>
            </w:tcBorders>
          </w:tcPr>
          <w:p w14:paraId="0CB8C996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bCs/>
                <w:color w:val="000000" w:themeColor="text1"/>
                <w:kern w:val="24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  <w:kern w:val="24"/>
              </w:rPr>
              <w:t>Control arm</w:t>
            </w:r>
          </w:p>
          <w:p w14:paraId="281A2568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t>N = 12</w:t>
            </w:r>
          </w:p>
        </w:tc>
        <w:tc>
          <w:tcPr>
            <w:tcW w:w="1250" w:type="pct"/>
            <w:tcBorders>
              <w:bottom w:val="single" w:sz="8" w:space="0" w:color="auto"/>
            </w:tcBorders>
          </w:tcPr>
          <w:p w14:paraId="0E19DD2D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  <w:kern w:val="24"/>
              </w:rPr>
              <w:t>Investigation arm</w:t>
            </w: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br/>
              <w:t>N = 10</w:t>
            </w:r>
          </w:p>
        </w:tc>
        <w:tc>
          <w:tcPr>
            <w:tcW w:w="1250" w:type="pct"/>
            <w:tcBorders>
              <w:bottom w:val="single" w:sz="8" w:space="0" w:color="auto"/>
            </w:tcBorders>
          </w:tcPr>
          <w:p w14:paraId="1146CB63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bCs/>
                <w:color w:val="000000" w:themeColor="text1"/>
                <w:kern w:val="24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  <w:kern w:val="24"/>
              </w:rPr>
              <w:t>p-value*</w:t>
            </w:r>
          </w:p>
          <w:p w14:paraId="63F545BE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bCs/>
                <w:color w:val="000000" w:themeColor="text1"/>
                <w:kern w:val="24"/>
              </w:rPr>
            </w:pPr>
          </w:p>
        </w:tc>
      </w:tr>
      <w:tr w:rsidR="00A13A0D" w:rsidRPr="00D50C58" w14:paraId="196FC598" w14:textId="77777777" w:rsidTr="006F6088">
        <w:trPr>
          <w:cantSplit/>
        </w:trPr>
        <w:tc>
          <w:tcPr>
            <w:tcW w:w="1250" w:type="pct"/>
            <w:tcBorders>
              <w:top w:val="single" w:sz="8" w:space="0" w:color="auto"/>
              <w:bottom w:val="nil"/>
            </w:tcBorders>
          </w:tcPr>
          <w:p w14:paraId="274DF689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  <w:kern w:val="24"/>
              </w:rPr>
              <w:t>Changes in the SMI</w:t>
            </w:r>
          </w:p>
        </w:tc>
        <w:tc>
          <w:tcPr>
            <w:tcW w:w="1250" w:type="pct"/>
            <w:tcBorders>
              <w:top w:val="single" w:sz="8" w:space="0" w:color="auto"/>
              <w:bottom w:val="nil"/>
            </w:tcBorders>
          </w:tcPr>
          <w:p w14:paraId="74F7A681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1250" w:type="pct"/>
            <w:tcBorders>
              <w:top w:val="single" w:sz="8" w:space="0" w:color="auto"/>
              <w:bottom w:val="nil"/>
            </w:tcBorders>
          </w:tcPr>
          <w:p w14:paraId="5BBBA0AB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1250" w:type="pct"/>
            <w:tcBorders>
              <w:top w:val="single" w:sz="8" w:space="0" w:color="auto"/>
              <w:bottom w:val="nil"/>
            </w:tcBorders>
          </w:tcPr>
          <w:p w14:paraId="480F9910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cs="Times New Roman"/>
                <w:b/>
                <w:color w:val="000000" w:themeColor="text1"/>
              </w:rPr>
              <w:t>0.370</w:t>
            </w:r>
          </w:p>
        </w:tc>
      </w:tr>
      <w:tr w:rsidR="00A13A0D" w:rsidRPr="00D50C58" w14:paraId="2245EF6B" w14:textId="77777777" w:rsidTr="006F6088">
        <w:trPr>
          <w:cantSplit/>
        </w:trPr>
        <w:tc>
          <w:tcPr>
            <w:tcW w:w="1250" w:type="pct"/>
            <w:tcBorders>
              <w:top w:val="nil"/>
            </w:tcBorders>
          </w:tcPr>
          <w:p w14:paraId="6FFC1655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t>    Mean (SD)</w:t>
            </w:r>
          </w:p>
        </w:tc>
        <w:tc>
          <w:tcPr>
            <w:tcW w:w="1250" w:type="pct"/>
            <w:tcBorders>
              <w:top w:val="nil"/>
            </w:tcBorders>
          </w:tcPr>
          <w:p w14:paraId="34F1AAF9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0.39 (0.82)</w:t>
            </w:r>
          </w:p>
        </w:tc>
        <w:tc>
          <w:tcPr>
            <w:tcW w:w="1250" w:type="pct"/>
            <w:tcBorders>
              <w:top w:val="nil"/>
            </w:tcBorders>
          </w:tcPr>
          <w:p w14:paraId="3638E21B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0.12 (0.28)</w:t>
            </w:r>
          </w:p>
        </w:tc>
        <w:tc>
          <w:tcPr>
            <w:tcW w:w="1250" w:type="pct"/>
            <w:tcBorders>
              <w:top w:val="nil"/>
            </w:tcBorders>
          </w:tcPr>
          <w:p w14:paraId="3F4702DF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</w:p>
        </w:tc>
      </w:tr>
      <w:tr w:rsidR="00A13A0D" w:rsidRPr="00D50C58" w14:paraId="3D798FFD" w14:textId="77777777" w:rsidTr="006F6088">
        <w:trPr>
          <w:cantSplit/>
        </w:trPr>
        <w:tc>
          <w:tcPr>
            <w:tcW w:w="1250" w:type="pct"/>
          </w:tcPr>
          <w:p w14:paraId="6FFE9D81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t>    Median (IQR)</w:t>
            </w:r>
          </w:p>
        </w:tc>
        <w:tc>
          <w:tcPr>
            <w:tcW w:w="1250" w:type="pct"/>
          </w:tcPr>
          <w:p w14:paraId="15ED6290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0.19 (0.04</w:t>
            </w:r>
            <w:r w:rsidRPr="00D50C58">
              <w:rPr>
                <w:rFonts w:cs="Times New Roman"/>
              </w:rPr>
              <w:t>–</w:t>
            </w: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0.77)</w:t>
            </w:r>
          </w:p>
        </w:tc>
        <w:tc>
          <w:tcPr>
            <w:tcW w:w="1250" w:type="pct"/>
          </w:tcPr>
          <w:p w14:paraId="4EEAFC2A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0.10 (</w:t>
            </w:r>
            <w:r w:rsidRPr="00D50C58">
              <w:rPr>
                <w:rFonts w:cs="Times New Roman"/>
              </w:rPr>
              <w:t>−</w:t>
            </w: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0.09 to 0.37)</w:t>
            </w:r>
          </w:p>
        </w:tc>
        <w:tc>
          <w:tcPr>
            <w:tcW w:w="1250" w:type="pct"/>
          </w:tcPr>
          <w:p w14:paraId="27D8A689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</w:p>
        </w:tc>
      </w:tr>
      <w:tr w:rsidR="00A13A0D" w:rsidRPr="00D50C58" w14:paraId="31B637CD" w14:textId="77777777" w:rsidTr="006F6088">
        <w:trPr>
          <w:cantSplit/>
        </w:trPr>
        <w:tc>
          <w:tcPr>
            <w:tcW w:w="1250" w:type="pct"/>
          </w:tcPr>
          <w:p w14:paraId="7B95BBEA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t>    Min</w:t>
            </w:r>
            <w:r w:rsidRPr="00D50C58">
              <w:rPr>
                <w:rFonts w:cs="Times New Roman"/>
                <w:b/>
                <w:bCs/>
              </w:rPr>
              <w:t>–</w:t>
            </w: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t>Max</w:t>
            </w:r>
          </w:p>
        </w:tc>
        <w:tc>
          <w:tcPr>
            <w:tcW w:w="1250" w:type="pct"/>
          </w:tcPr>
          <w:p w14:paraId="3A570C80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cs="Times New Roman"/>
              </w:rPr>
              <w:t>−</w:t>
            </w: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0.64 to 1.79</w:t>
            </w:r>
          </w:p>
        </w:tc>
        <w:tc>
          <w:tcPr>
            <w:tcW w:w="1250" w:type="pct"/>
          </w:tcPr>
          <w:p w14:paraId="38875428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>
              <w:rPr>
                <w:rFonts w:eastAsia="Yu Gothic" w:cs="Times New Roman"/>
                <w:color w:val="000000" w:themeColor="text1"/>
                <w:kern w:val="24"/>
              </w:rPr>
              <w:t>−0</w:t>
            </w: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.28 to 0.45</w:t>
            </w:r>
          </w:p>
        </w:tc>
        <w:tc>
          <w:tcPr>
            <w:tcW w:w="1250" w:type="pct"/>
          </w:tcPr>
          <w:p w14:paraId="3AB44B36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</w:p>
        </w:tc>
      </w:tr>
    </w:tbl>
    <w:p w14:paraId="36877D81" w14:textId="77777777" w:rsidR="00A13A0D" w:rsidRDefault="00A13A0D" w:rsidP="00A13A0D">
      <w:pPr>
        <w:spacing w:line="480" w:lineRule="auto"/>
        <w:outlineLvl w:val="0"/>
        <w:rPr>
          <w:rFonts w:cs="Times New Roman"/>
          <w:color w:val="000000"/>
        </w:rPr>
      </w:pPr>
      <w:r w:rsidRPr="00D50C58">
        <w:rPr>
          <w:rFonts w:cs="Times New Roman"/>
          <w:color w:val="000000" w:themeColor="text1"/>
        </w:rPr>
        <w:t>* p-value obtained from the group-by-time interaction term in the mixed-effects model, representing the between-group difference in SMI changes.</w:t>
      </w:r>
      <w:r w:rsidRPr="00D50C58">
        <w:rPr>
          <w:rFonts w:eastAsia="Yu Gothic" w:cs="Times New Roman"/>
          <w:color w:val="000000"/>
        </w:rPr>
        <w:t xml:space="preserve"> </w:t>
      </w:r>
      <w:r w:rsidRPr="00D50C58">
        <w:rPr>
          <w:rFonts w:cs="Times New Roman"/>
          <w:color w:val="000000"/>
        </w:rPr>
        <w:t>All patients (N = 22) are included in the analysis using the mixed-effects model, despite missing values at some time points owing to nonoperative management following chemotherapy or simple oversight.</w:t>
      </w:r>
    </w:p>
    <w:p w14:paraId="06E68307" w14:textId="77777777" w:rsidR="00A13A0D" w:rsidRPr="00D50C58" w:rsidRDefault="00A13A0D" w:rsidP="00A13A0D">
      <w:pPr>
        <w:snapToGrid w:val="0"/>
        <w:spacing w:line="480" w:lineRule="auto"/>
        <w:rPr>
          <w:rFonts w:cs="Times New Roman"/>
          <w:color w:val="000000" w:themeColor="text1"/>
        </w:rPr>
      </w:pPr>
      <w:r w:rsidRPr="00996E1D">
        <w:rPr>
          <w:color w:val="000000" w:themeColor="text1"/>
        </w:rPr>
        <w:t xml:space="preserve">Abbreviations: </w:t>
      </w:r>
      <w:r>
        <w:rPr>
          <w:i/>
          <w:color w:val="000000" w:themeColor="text1"/>
        </w:rPr>
        <w:t>SMI</w:t>
      </w:r>
      <w:r w:rsidRPr="00996E1D">
        <w:rPr>
          <w:color w:val="000000" w:themeColor="text1"/>
        </w:rPr>
        <w:t xml:space="preserve">, </w:t>
      </w:r>
      <w:r>
        <w:rPr>
          <w:color w:val="000000" w:themeColor="text1"/>
        </w:rPr>
        <w:t>skeletal muscle mass index</w:t>
      </w:r>
      <w:r w:rsidRPr="00996E1D">
        <w:rPr>
          <w:color w:val="000000" w:themeColor="text1"/>
        </w:rPr>
        <w:t xml:space="preserve">; </w:t>
      </w:r>
      <w:r>
        <w:rPr>
          <w:i/>
          <w:color w:val="000000" w:themeColor="text1"/>
        </w:rPr>
        <w:t>SD</w:t>
      </w:r>
      <w:r w:rsidRPr="00996E1D">
        <w:rPr>
          <w:color w:val="000000" w:themeColor="text1"/>
        </w:rPr>
        <w:t xml:space="preserve">, </w:t>
      </w:r>
      <w:r>
        <w:rPr>
          <w:color w:val="000000" w:themeColor="text1"/>
        </w:rPr>
        <w:t>standard deviation</w:t>
      </w:r>
      <w:r w:rsidRPr="00996E1D">
        <w:rPr>
          <w:color w:val="000000" w:themeColor="text1"/>
        </w:rPr>
        <w:t xml:space="preserve">; </w:t>
      </w:r>
      <w:r>
        <w:rPr>
          <w:i/>
          <w:color w:val="000000" w:themeColor="text1"/>
        </w:rPr>
        <w:t>IQR</w:t>
      </w:r>
      <w:r w:rsidRPr="00996E1D">
        <w:rPr>
          <w:color w:val="000000" w:themeColor="text1"/>
        </w:rPr>
        <w:t xml:space="preserve">, </w:t>
      </w:r>
      <w:r>
        <w:rPr>
          <w:color w:val="000000" w:themeColor="text1"/>
        </w:rPr>
        <w:t>interquartile range</w:t>
      </w:r>
      <w:r w:rsidRPr="00996E1D">
        <w:rPr>
          <w:color w:val="000000" w:themeColor="text1"/>
        </w:rPr>
        <w:t>;</w:t>
      </w:r>
      <w:r>
        <w:rPr>
          <w:color w:val="000000" w:themeColor="text1"/>
        </w:rPr>
        <w:t xml:space="preserve"> </w:t>
      </w:r>
      <w:r>
        <w:rPr>
          <w:i/>
          <w:iCs/>
          <w:color w:val="000000" w:themeColor="text1"/>
        </w:rPr>
        <w:t>Min</w:t>
      </w:r>
      <w:r w:rsidRPr="00996E1D">
        <w:rPr>
          <w:color w:val="000000" w:themeColor="text1"/>
        </w:rPr>
        <w:t xml:space="preserve">, </w:t>
      </w:r>
      <w:r>
        <w:rPr>
          <w:color w:val="000000" w:themeColor="text1"/>
        </w:rPr>
        <w:t>minimum value</w:t>
      </w:r>
      <w:r w:rsidRPr="00996E1D">
        <w:rPr>
          <w:color w:val="000000" w:themeColor="text1"/>
        </w:rPr>
        <w:t>;</w:t>
      </w:r>
      <w:r>
        <w:rPr>
          <w:color w:val="000000" w:themeColor="text1"/>
        </w:rPr>
        <w:t xml:space="preserve"> </w:t>
      </w:r>
      <w:r>
        <w:rPr>
          <w:i/>
          <w:iCs/>
          <w:color w:val="000000" w:themeColor="text1"/>
        </w:rPr>
        <w:t>Max</w:t>
      </w:r>
      <w:r w:rsidRPr="00996E1D">
        <w:rPr>
          <w:color w:val="000000" w:themeColor="text1"/>
        </w:rPr>
        <w:t xml:space="preserve">, </w:t>
      </w:r>
      <w:r>
        <w:rPr>
          <w:color w:val="000000" w:themeColor="text1"/>
        </w:rPr>
        <w:t>maximum value</w:t>
      </w:r>
    </w:p>
    <w:p w14:paraId="543D49C1" w14:textId="77777777" w:rsidR="00A13A0D" w:rsidRDefault="00A13A0D" w:rsidP="00A13A0D">
      <w:p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br w:type="page"/>
      </w:r>
    </w:p>
    <w:p w14:paraId="4E436361" w14:textId="77777777" w:rsidR="00A13A0D" w:rsidRPr="00D50C58" w:rsidRDefault="00A13A0D" w:rsidP="00A13A0D">
      <w:pPr>
        <w:snapToGrid w:val="0"/>
        <w:spacing w:line="480" w:lineRule="auto"/>
        <w:outlineLvl w:val="0"/>
        <w:rPr>
          <w:rFonts w:cs="Times New Roman"/>
          <w:b/>
          <w:color w:val="000000" w:themeColor="text1"/>
        </w:rPr>
      </w:pPr>
      <w:r w:rsidRPr="00D50C58">
        <w:rPr>
          <w:rFonts w:cs="Times New Roman"/>
          <w:b/>
          <w:color w:val="000000" w:themeColor="text1"/>
        </w:rPr>
        <w:lastRenderedPageBreak/>
        <w:t>Table 3. Secondary endpoints</w:t>
      </w:r>
    </w:p>
    <w:tbl>
      <w:tblPr>
        <w:tblStyle w:val="TableGrid"/>
        <w:tblpPr w:leftFromText="142" w:rightFromText="142" w:vertAnchor="text" w:horzAnchor="margin" w:tblpY="-138"/>
        <w:tblW w:w="48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2695"/>
        <w:gridCol w:w="2582"/>
        <w:gridCol w:w="1528"/>
      </w:tblGrid>
      <w:tr w:rsidR="00A13A0D" w:rsidRPr="00D50C58" w14:paraId="1A7C4C6E" w14:textId="77777777" w:rsidTr="006F6088">
        <w:tc>
          <w:tcPr>
            <w:tcW w:w="1129" w:type="pct"/>
            <w:tcBorders>
              <w:top w:val="single" w:sz="18" w:space="0" w:color="auto"/>
              <w:bottom w:val="single" w:sz="8" w:space="0" w:color="auto"/>
            </w:tcBorders>
            <w:vAlign w:val="bottom"/>
          </w:tcPr>
          <w:p w14:paraId="0A485A28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t>Outcome</w:t>
            </w:r>
          </w:p>
        </w:tc>
        <w:tc>
          <w:tcPr>
            <w:tcW w:w="1533" w:type="pct"/>
            <w:tcBorders>
              <w:top w:val="single" w:sz="18" w:space="0" w:color="auto"/>
              <w:bottom w:val="single" w:sz="8" w:space="0" w:color="auto"/>
            </w:tcBorders>
            <w:vAlign w:val="bottom"/>
          </w:tcPr>
          <w:p w14:paraId="14B762D0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bCs/>
                <w:color w:val="000000" w:themeColor="text1"/>
                <w:kern w:val="24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  <w:kern w:val="24"/>
              </w:rPr>
              <w:t>Control arm</w:t>
            </w:r>
          </w:p>
          <w:p w14:paraId="5A567477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t>N = 12</w:t>
            </w:r>
          </w:p>
        </w:tc>
        <w:tc>
          <w:tcPr>
            <w:tcW w:w="1469" w:type="pct"/>
            <w:tcBorders>
              <w:top w:val="single" w:sz="18" w:space="0" w:color="auto"/>
              <w:bottom w:val="single" w:sz="8" w:space="0" w:color="auto"/>
            </w:tcBorders>
            <w:vAlign w:val="bottom"/>
          </w:tcPr>
          <w:p w14:paraId="41BEEE32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  <w:kern w:val="24"/>
              </w:rPr>
              <w:t>Investigation arm</w:t>
            </w: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br/>
              <w:t>N = 10</w:t>
            </w:r>
          </w:p>
        </w:tc>
        <w:tc>
          <w:tcPr>
            <w:tcW w:w="869" w:type="pct"/>
            <w:tcBorders>
              <w:top w:val="single" w:sz="18" w:space="0" w:color="auto"/>
              <w:bottom w:val="single" w:sz="8" w:space="0" w:color="auto"/>
            </w:tcBorders>
          </w:tcPr>
          <w:p w14:paraId="54C4BC65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bCs/>
                <w:color w:val="000000" w:themeColor="text1"/>
                <w:kern w:val="24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  <w:kern w:val="24"/>
              </w:rPr>
              <w:t>p value*</w:t>
            </w:r>
          </w:p>
        </w:tc>
      </w:tr>
      <w:tr w:rsidR="00A13A0D" w:rsidRPr="00D50C58" w14:paraId="46DD30CD" w14:textId="77777777" w:rsidTr="006F6088">
        <w:trPr>
          <w:trHeight w:val="248"/>
        </w:trPr>
        <w:tc>
          <w:tcPr>
            <w:tcW w:w="4131" w:type="pct"/>
            <w:gridSpan w:val="3"/>
            <w:tcBorders>
              <w:top w:val="single" w:sz="8" w:space="0" w:color="auto"/>
            </w:tcBorders>
            <w:vAlign w:val="center"/>
          </w:tcPr>
          <w:p w14:paraId="2D8CD45B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  <w:kern w:val="24"/>
              </w:rPr>
              <w:t>Changes in body weight</w:t>
            </w:r>
          </w:p>
        </w:tc>
        <w:tc>
          <w:tcPr>
            <w:tcW w:w="869" w:type="pct"/>
            <w:tcBorders>
              <w:top w:val="single" w:sz="8" w:space="0" w:color="auto"/>
            </w:tcBorders>
          </w:tcPr>
          <w:p w14:paraId="0EBB69F9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Cs/>
                <w:color w:val="000000" w:themeColor="text1"/>
              </w:rPr>
            </w:pPr>
            <w:r w:rsidRPr="00D50C58">
              <w:rPr>
                <w:rFonts w:cs="Times New Roman"/>
                <w:bCs/>
                <w:color w:val="000000" w:themeColor="text1"/>
              </w:rPr>
              <w:t>0.174</w:t>
            </w:r>
          </w:p>
        </w:tc>
      </w:tr>
      <w:tr w:rsidR="00A13A0D" w:rsidRPr="00D50C58" w14:paraId="158DCF72" w14:textId="77777777" w:rsidTr="006F6088">
        <w:tc>
          <w:tcPr>
            <w:tcW w:w="1129" w:type="pct"/>
            <w:vAlign w:val="center"/>
          </w:tcPr>
          <w:p w14:paraId="2EA5FCEB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t>    Mean (SD)</w:t>
            </w:r>
          </w:p>
        </w:tc>
        <w:tc>
          <w:tcPr>
            <w:tcW w:w="1533" w:type="pct"/>
            <w:vAlign w:val="center"/>
          </w:tcPr>
          <w:p w14:paraId="30E4920C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eastAsia="Yu Gothic" w:cs="Times New Roman"/>
                <w:color w:val="000000" w:themeColor="dark1"/>
                <w:kern w:val="24"/>
              </w:rPr>
              <w:t>0.71 (2.80)</w:t>
            </w:r>
          </w:p>
        </w:tc>
        <w:tc>
          <w:tcPr>
            <w:tcW w:w="1469" w:type="pct"/>
            <w:vAlign w:val="center"/>
          </w:tcPr>
          <w:p w14:paraId="4BC3A58F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eastAsia="Yu Gothic" w:cs="Times New Roman"/>
                <w:color w:val="000000" w:themeColor="dark1"/>
                <w:kern w:val="24"/>
              </w:rPr>
              <w:t>2.34 (3.03)</w:t>
            </w:r>
          </w:p>
        </w:tc>
        <w:tc>
          <w:tcPr>
            <w:tcW w:w="869" w:type="pct"/>
          </w:tcPr>
          <w:p w14:paraId="2BB33891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</w:p>
        </w:tc>
      </w:tr>
      <w:tr w:rsidR="00A13A0D" w:rsidRPr="00D50C58" w14:paraId="0474BD46" w14:textId="77777777" w:rsidTr="006F6088">
        <w:tc>
          <w:tcPr>
            <w:tcW w:w="1129" w:type="pct"/>
            <w:vAlign w:val="center"/>
          </w:tcPr>
          <w:p w14:paraId="7C5C07CD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t>    Median (IQR)</w:t>
            </w:r>
          </w:p>
        </w:tc>
        <w:tc>
          <w:tcPr>
            <w:tcW w:w="1533" w:type="pct"/>
            <w:vAlign w:val="center"/>
          </w:tcPr>
          <w:p w14:paraId="71A436EF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eastAsia="Yu Gothic" w:cs="Times New Roman"/>
                <w:color w:val="000000" w:themeColor="dark1"/>
                <w:kern w:val="24"/>
              </w:rPr>
              <w:t>0.00 (</w:t>
            </w:r>
            <w:r w:rsidRPr="00D50C58">
              <w:rPr>
                <w:rFonts w:cs="Times New Roman"/>
              </w:rPr>
              <w:t>−</w:t>
            </w:r>
            <w:r w:rsidRPr="00D50C58">
              <w:rPr>
                <w:rFonts w:eastAsia="Yu Gothic" w:cs="Times New Roman"/>
                <w:color w:val="000000" w:themeColor="dark1"/>
                <w:kern w:val="24"/>
              </w:rPr>
              <w:t>1.00 to 0.80)</w:t>
            </w:r>
          </w:p>
        </w:tc>
        <w:tc>
          <w:tcPr>
            <w:tcW w:w="1469" w:type="pct"/>
            <w:vAlign w:val="center"/>
          </w:tcPr>
          <w:p w14:paraId="43DC6B94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eastAsia="Yu Gothic" w:cs="Times New Roman"/>
                <w:color w:val="000000" w:themeColor="dark1"/>
                <w:kern w:val="24"/>
              </w:rPr>
              <w:t>3.10 (1.50</w:t>
            </w:r>
            <w:r w:rsidRPr="00D50C58">
              <w:rPr>
                <w:rFonts w:cs="Times New Roman"/>
              </w:rPr>
              <w:t>–</w:t>
            </w:r>
            <w:r w:rsidRPr="00D50C58">
              <w:rPr>
                <w:rFonts w:eastAsia="Yu Gothic" w:cs="Times New Roman"/>
                <w:color w:val="000000" w:themeColor="dark1"/>
                <w:kern w:val="24"/>
              </w:rPr>
              <w:t>3.90)</w:t>
            </w:r>
          </w:p>
        </w:tc>
        <w:tc>
          <w:tcPr>
            <w:tcW w:w="869" w:type="pct"/>
          </w:tcPr>
          <w:p w14:paraId="7A17F73C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</w:p>
        </w:tc>
      </w:tr>
      <w:tr w:rsidR="00A13A0D" w:rsidRPr="00D50C58" w14:paraId="120C1FAD" w14:textId="77777777" w:rsidTr="006F6088">
        <w:tc>
          <w:tcPr>
            <w:tcW w:w="1129" w:type="pct"/>
            <w:vAlign w:val="center"/>
          </w:tcPr>
          <w:p w14:paraId="0D8DDF4E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t>    Min</w:t>
            </w:r>
            <w:r w:rsidRPr="00D50C58">
              <w:rPr>
                <w:rFonts w:cs="Times New Roman"/>
                <w:b/>
                <w:bCs/>
              </w:rPr>
              <w:t>–</w:t>
            </w: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t>Max</w:t>
            </w:r>
          </w:p>
        </w:tc>
        <w:tc>
          <w:tcPr>
            <w:tcW w:w="1533" w:type="pct"/>
            <w:vAlign w:val="center"/>
          </w:tcPr>
          <w:p w14:paraId="16BC61A5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cs="Times New Roman"/>
              </w:rPr>
              <w:t>−</w:t>
            </w:r>
            <w:r w:rsidRPr="00D50C58">
              <w:rPr>
                <w:rFonts w:eastAsia="Yu Gothic" w:cs="Times New Roman"/>
                <w:color w:val="000000" w:themeColor="dark1"/>
                <w:kern w:val="24"/>
              </w:rPr>
              <w:t>2.00 to 7.20</w:t>
            </w:r>
          </w:p>
        </w:tc>
        <w:tc>
          <w:tcPr>
            <w:tcW w:w="1469" w:type="pct"/>
            <w:vAlign w:val="center"/>
          </w:tcPr>
          <w:p w14:paraId="53FAB428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cs="Times New Roman"/>
                <w:b/>
                <w:color w:val="000000" w:themeColor="text1"/>
              </w:rPr>
            </w:pPr>
            <w:r w:rsidRPr="00D50C58">
              <w:rPr>
                <w:rFonts w:cs="Times New Roman"/>
              </w:rPr>
              <w:t>−</w:t>
            </w:r>
            <w:r w:rsidRPr="00D50C58">
              <w:rPr>
                <w:rFonts w:eastAsia="Yu Gothic" w:cs="Times New Roman"/>
                <w:color w:val="000000" w:themeColor="dark1"/>
                <w:kern w:val="24"/>
              </w:rPr>
              <w:t>5.20 to 5.60</w:t>
            </w:r>
          </w:p>
        </w:tc>
        <w:tc>
          <w:tcPr>
            <w:tcW w:w="869" w:type="pct"/>
          </w:tcPr>
          <w:p w14:paraId="53DE4BBB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</w:p>
        </w:tc>
      </w:tr>
      <w:tr w:rsidR="00A13A0D" w:rsidRPr="00D50C58" w14:paraId="753A47F9" w14:textId="77777777" w:rsidTr="006F6088">
        <w:tc>
          <w:tcPr>
            <w:tcW w:w="4131" w:type="pct"/>
            <w:gridSpan w:val="3"/>
            <w:tcBorders>
              <w:top w:val="single" w:sz="8" w:space="0" w:color="auto"/>
            </w:tcBorders>
            <w:vAlign w:val="center"/>
          </w:tcPr>
          <w:p w14:paraId="7627E20C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dark1"/>
                <w:kern w:val="24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  <w:kern w:val="24"/>
              </w:rPr>
              <w:t>Changes in skeletal muscle mass</w:t>
            </w:r>
          </w:p>
        </w:tc>
        <w:tc>
          <w:tcPr>
            <w:tcW w:w="869" w:type="pct"/>
            <w:tcBorders>
              <w:top w:val="single" w:sz="8" w:space="0" w:color="auto"/>
            </w:tcBorders>
          </w:tcPr>
          <w:p w14:paraId="7317DB05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0.403</w:t>
            </w:r>
          </w:p>
        </w:tc>
      </w:tr>
      <w:tr w:rsidR="00A13A0D" w:rsidRPr="00D50C58" w14:paraId="25255F00" w14:textId="77777777" w:rsidTr="006F6088">
        <w:tc>
          <w:tcPr>
            <w:tcW w:w="1129" w:type="pct"/>
            <w:vAlign w:val="center"/>
          </w:tcPr>
          <w:p w14:paraId="57E810B8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</w:pP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t>    Mean (SD)</w:t>
            </w:r>
          </w:p>
        </w:tc>
        <w:tc>
          <w:tcPr>
            <w:tcW w:w="1533" w:type="pct"/>
            <w:vAlign w:val="center"/>
          </w:tcPr>
          <w:p w14:paraId="7CD64705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1.13 (2.44)</w:t>
            </w:r>
          </w:p>
        </w:tc>
        <w:tc>
          <w:tcPr>
            <w:tcW w:w="1469" w:type="pct"/>
            <w:vAlign w:val="center"/>
          </w:tcPr>
          <w:p w14:paraId="436F8566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0.38 (0.76)</w:t>
            </w:r>
          </w:p>
        </w:tc>
        <w:tc>
          <w:tcPr>
            <w:tcW w:w="869" w:type="pct"/>
          </w:tcPr>
          <w:p w14:paraId="285D7A31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</w:p>
        </w:tc>
      </w:tr>
      <w:tr w:rsidR="00A13A0D" w:rsidRPr="00D50C58" w14:paraId="1FE85675" w14:textId="77777777" w:rsidTr="006F6088">
        <w:tc>
          <w:tcPr>
            <w:tcW w:w="1129" w:type="pct"/>
            <w:vAlign w:val="center"/>
          </w:tcPr>
          <w:p w14:paraId="25BA5B7E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</w:pP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t>    Median (IQR)</w:t>
            </w:r>
          </w:p>
        </w:tc>
        <w:tc>
          <w:tcPr>
            <w:tcW w:w="1533" w:type="pct"/>
            <w:vAlign w:val="center"/>
          </w:tcPr>
          <w:p w14:paraId="7954B81A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0.40 (0.10</w:t>
            </w:r>
            <w:r w:rsidRPr="00D50C58">
              <w:rPr>
                <w:rFonts w:cs="Times New Roman"/>
              </w:rPr>
              <w:t>–</w:t>
            </w: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2.40)</w:t>
            </w:r>
          </w:p>
        </w:tc>
        <w:tc>
          <w:tcPr>
            <w:tcW w:w="1469" w:type="pct"/>
            <w:vAlign w:val="center"/>
          </w:tcPr>
          <w:p w14:paraId="4227BAA7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0.30 (</w:t>
            </w:r>
            <w:r w:rsidRPr="00D50C58">
              <w:rPr>
                <w:rFonts w:cs="Times New Roman"/>
              </w:rPr>
              <w:t>−</w:t>
            </w: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0.20 to 1.10)</w:t>
            </w:r>
          </w:p>
        </w:tc>
        <w:tc>
          <w:tcPr>
            <w:tcW w:w="869" w:type="pct"/>
          </w:tcPr>
          <w:p w14:paraId="0930603A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</w:p>
        </w:tc>
      </w:tr>
      <w:tr w:rsidR="00A13A0D" w:rsidRPr="00D50C58" w14:paraId="345AB141" w14:textId="77777777" w:rsidTr="006F6088">
        <w:tc>
          <w:tcPr>
            <w:tcW w:w="1129" w:type="pct"/>
            <w:vAlign w:val="center"/>
          </w:tcPr>
          <w:p w14:paraId="2F4981A0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</w:pP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t>    Min</w:t>
            </w:r>
            <w:r w:rsidRPr="00D50C58">
              <w:rPr>
                <w:rFonts w:cs="Times New Roman"/>
                <w:b/>
                <w:bCs/>
              </w:rPr>
              <w:t>–</w:t>
            </w: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t>Max</w:t>
            </w:r>
          </w:p>
        </w:tc>
        <w:tc>
          <w:tcPr>
            <w:tcW w:w="1533" w:type="pct"/>
            <w:vAlign w:val="center"/>
          </w:tcPr>
          <w:p w14:paraId="31FE96AA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  <w:r w:rsidRPr="00D50C58">
              <w:rPr>
                <w:rFonts w:cs="Times New Roman"/>
              </w:rPr>
              <w:t>−</w:t>
            </w: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1.80 to 5.30</w:t>
            </w:r>
          </w:p>
        </w:tc>
        <w:tc>
          <w:tcPr>
            <w:tcW w:w="1469" w:type="pct"/>
            <w:vAlign w:val="center"/>
          </w:tcPr>
          <w:p w14:paraId="0EE6D2CD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  <w:r w:rsidRPr="00D50C58">
              <w:rPr>
                <w:rFonts w:cs="Times New Roman"/>
              </w:rPr>
              <w:t>−</w:t>
            </w: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0.70 to 1.40</w:t>
            </w:r>
          </w:p>
        </w:tc>
        <w:tc>
          <w:tcPr>
            <w:tcW w:w="869" w:type="pct"/>
          </w:tcPr>
          <w:p w14:paraId="4831AA2F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</w:p>
        </w:tc>
      </w:tr>
      <w:tr w:rsidR="00A13A0D" w:rsidRPr="00D50C58" w14:paraId="005A8A28" w14:textId="77777777" w:rsidTr="006F6088">
        <w:tc>
          <w:tcPr>
            <w:tcW w:w="4131" w:type="pct"/>
            <w:gridSpan w:val="3"/>
            <w:tcBorders>
              <w:top w:val="single" w:sz="8" w:space="0" w:color="auto"/>
            </w:tcBorders>
            <w:vAlign w:val="center"/>
          </w:tcPr>
          <w:p w14:paraId="164EDED6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  <w:kern w:val="24"/>
              </w:rPr>
              <w:t>Changes in appendicular muscle mass</w:t>
            </w:r>
          </w:p>
        </w:tc>
        <w:tc>
          <w:tcPr>
            <w:tcW w:w="869" w:type="pct"/>
            <w:tcBorders>
              <w:top w:val="single" w:sz="8" w:space="0" w:color="auto"/>
            </w:tcBorders>
          </w:tcPr>
          <w:p w14:paraId="6AC77182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0.346</w:t>
            </w:r>
          </w:p>
        </w:tc>
      </w:tr>
      <w:tr w:rsidR="00A13A0D" w:rsidRPr="00D50C58" w14:paraId="19622770" w14:textId="77777777" w:rsidTr="006F6088">
        <w:tc>
          <w:tcPr>
            <w:tcW w:w="1129" w:type="pct"/>
            <w:vAlign w:val="center"/>
          </w:tcPr>
          <w:p w14:paraId="2C72D2CF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</w:pP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t>    Mean (SD)</w:t>
            </w:r>
          </w:p>
        </w:tc>
        <w:tc>
          <w:tcPr>
            <w:tcW w:w="1533" w:type="pct"/>
            <w:vAlign w:val="center"/>
          </w:tcPr>
          <w:p w14:paraId="4C0E2478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2.63 (5.59)</w:t>
            </w:r>
          </w:p>
        </w:tc>
        <w:tc>
          <w:tcPr>
            <w:tcW w:w="1469" w:type="pct"/>
            <w:vAlign w:val="center"/>
          </w:tcPr>
          <w:p w14:paraId="5599EC94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0.54 (0.82)</w:t>
            </w:r>
          </w:p>
        </w:tc>
        <w:tc>
          <w:tcPr>
            <w:tcW w:w="869" w:type="pct"/>
          </w:tcPr>
          <w:p w14:paraId="0D15D391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</w:p>
        </w:tc>
      </w:tr>
      <w:tr w:rsidR="00A13A0D" w:rsidRPr="00D50C58" w14:paraId="2DABF348" w14:textId="77777777" w:rsidTr="006F6088">
        <w:tc>
          <w:tcPr>
            <w:tcW w:w="1129" w:type="pct"/>
            <w:vAlign w:val="center"/>
          </w:tcPr>
          <w:p w14:paraId="658FAB48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</w:pP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t>    Median (IQR)</w:t>
            </w:r>
          </w:p>
        </w:tc>
        <w:tc>
          <w:tcPr>
            <w:tcW w:w="1533" w:type="pct"/>
            <w:vAlign w:val="center"/>
          </w:tcPr>
          <w:p w14:paraId="53AAE0D1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0.65 (0.22</w:t>
            </w:r>
            <w:r w:rsidRPr="00D50C58">
              <w:rPr>
                <w:rFonts w:cs="Times New Roman"/>
              </w:rPr>
              <w:t>–</w:t>
            </w: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1.67)</w:t>
            </w:r>
          </w:p>
        </w:tc>
        <w:tc>
          <w:tcPr>
            <w:tcW w:w="1469" w:type="pct"/>
            <w:vAlign w:val="center"/>
          </w:tcPr>
          <w:p w14:paraId="5D7F8ED6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0.35 (0.01</w:t>
            </w:r>
            <w:r w:rsidRPr="00D50C58">
              <w:rPr>
                <w:rFonts w:cs="Times New Roman"/>
              </w:rPr>
              <w:t>–</w:t>
            </w: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1.14)</w:t>
            </w:r>
          </w:p>
        </w:tc>
        <w:tc>
          <w:tcPr>
            <w:tcW w:w="869" w:type="pct"/>
          </w:tcPr>
          <w:p w14:paraId="01978A94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</w:p>
        </w:tc>
      </w:tr>
      <w:tr w:rsidR="00A13A0D" w:rsidRPr="00D50C58" w14:paraId="3029B496" w14:textId="77777777" w:rsidTr="006F6088">
        <w:tc>
          <w:tcPr>
            <w:tcW w:w="1129" w:type="pct"/>
            <w:vAlign w:val="center"/>
          </w:tcPr>
          <w:p w14:paraId="38A0EEBE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</w:pP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t>    Min</w:t>
            </w:r>
            <w:r w:rsidRPr="00D50C58">
              <w:rPr>
                <w:rFonts w:cs="Times New Roman"/>
                <w:b/>
                <w:bCs/>
              </w:rPr>
              <w:t>–</w:t>
            </w: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t>Max</w:t>
            </w:r>
          </w:p>
        </w:tc>
        <w:tc>
          <w:tcPr>
            <w:tcW w:w="1533" w:type="pct"/>
            <w:vAlign w:val="center"/>
          </w:tcPr>
          <w:p w14:paraId="10F3CF59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  <w:r w:rsidRPr="00D50C58">
              <w:rPr>
                <w:rFonts w:cs="Times New Roman"/>
              </w:rPr>
              <w:t>−</w:t>
            </w: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1.27 to 13.88</w:t>
            </w:r>
          </w:p>
        </w:tc>
        <w:tc>
          <w:tcPr>
            <w:tcW w:w="1469" w:type="pct"/>
            <w:vAlign w:val="center"/>
          </w:tcPr>
          <w:p w14:paraId="74663CBB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  <w:r w:rsidRPr="00D50C58">
              <w:rPr>
                <w:rFonts w:cs="Times New Roman"/>
              </w:rPr>
              <w:t>−</w:t>
            </w: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0.60 to 1.85</w:t>
            </w:r>
          </w:p>
        </w:tc>
        <w:tc>
          <w:tcPr>
            <w:tcW w:w="869" w:type="pct"/>
          </w:tcPr>
          <w:p w14:paraId="1134C301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</w:p>
        </w:tc>
      </w:tr>
      <w:tr w:rsidR="00A13A0D" w:rsidRPr="00D50C58" w14:paraId="534251F0" w14:textId="77777777" w:rsidTr="006F6088">
        <w:tc>
          <w:tcPr>
            <w:tcW w:w="4131" w:type="pct"/>
            <w:gridSpan w:val="3"/>
            <w:tcBorders>
              <w:top w:val="single" w:sz="8" w:space="0" w:color="auto"/>
            </w:tcBorders>
            <w:vAlign w:val="center"/>
          </w:tcPr>
          <w:p w14:paraId="4B01B350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  <w:r w:rsidRPr="00D50C58">
              <w:rPr>
                <w:rFonts w:cs="Times New Roman"/>
                <w:b/>
                <w:bCs/>
                <w:color w:val="000000" w:themeColor="text1"/>
                <w:kern w:val="24"/>
              </w:rPr>
              <w:t>Changes in fat-free mass index</w:t>
            </w:r>
          </w:p>
        </w:tc>
        <w:tc>
          <w:tcPr>
            <w:tcW w:w="869" w:type="pct"/>
            <w:tcBorders>
              <w:top w:val="single" w:sz="8" w:space="0" w:color="auto"/>
            </w:tcBorders>
          </w:tcPr>
          <w:p w14:paraId="1B48CF38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0.515</w:t>
            </w:r>
          </w:p>
        </w:tc>
      </w:tr>
      <w:tr w:rsidR="00A13A0D" w:rsidRPr="00D50C58" w14:paraId="2B5F257A" w14:textId="77777777" w:rsidTr="006F6088">
        <w:tc>
          <w:tcPr>
            <w:tcW w:w="1129" w:type="pct"/>
            <w:vAlign w:val="center"/>
          </w:tcPr>
          <w:p w14:paraId="324E3FAD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</w:pP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t>    Mean (SD)</w:t>
            </w:r>
          </w:p>
        </w:tc>
        <w:tc>
          <w:tcPr>
            <w:tcW w:w="1533" w:type="pct"/>
            <w:vAlign w:val="center"/>
          </w:tcPr>
          <w:p w14:paraId="7EEDA15E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0.53 (1.01)</w:t>
            </w:r>
          </w:p>
        </w:tc>
        <w:tc>
          <w:tcPr>
            <w:tcW w:w="1469" w:type="pct"/>
            <w:vAlign w:val="center"/>
          </w:tcPr>
          <w:p w14:paraId="7D5484F6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0.28 (0.40)</w:t>
            </w:r>
          </w:p>
        </w:tc>
        <w:tc>
          <w:tcPr>
            <w:tcW w:w="869" w:type="pct"/>
          </w:tcPr>
          <w:p w14:paraId="2E7DCE46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</w:p>
        </w:tc>
      </w:tr>
      <w:tr w:rsidR="00A13A0D" w:rsidRPr="00D50C58" w14:paraId="385BA560" w14:textId="77777777" w:rsidTr="006F6088">
        <w:tc>
          <w:tcPr>
            <w:tcW w:w="1129" w:type="pct"/>
            <w:vAlign w:val="center"/>
          </w:tcPr>
          <w:p w14:paraId="7C2D8F2F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</w:pP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t>    Median (IQR)</w:t>
            </w:r>
          </w:p>
        </w:tc>
        <w:tc>
          <w:tcPr>
            <w:tcW w:w="1533" w:type="pct"/>
            <w:vAlign w:val="center"/>
          </w:tcPr>
          <w:p w14:paraId="7ADB046B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0.48 (0.20</w:t>
            </w:r>
            <w:r w:rsidRPr="00D50C58">
              <w:rPr>
                <w:rFonts w:cs="Times New Roman"/>
              </w:rPr>
              <w:t>–</w:t>
            </w: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1.13)</w:t>
            </w:r>
          </w:p>
        </w:tc>
        <w:tc>
          <w:tcPr>
            <w:tcW w:w="1469" w:type="pct"/>
            <w:vAlign w:val="center"/>
          </w:tcPr>
          <w:p w14:paraId="3F4570EF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0.40 (0.15</w:t>
            </w:r>
            <w:r w:rsidRPr="00D50C58">
              <w:rPr>
                <w:rFonts w:cs="Times New Roman"/>
              </w:rPr>
              <w:t>–</w:t>
            </w: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0.45)</w:t>
            </w:r>
          </w:p>
        </w:tc>
        <w:tc>
          <w:tcPr>
            <w:tcW w:w="869" w:type="pct"/>
          </w:tcPr>
          <w:p w14:paraId="660A6899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</w:p>
        </w:tc>
      </w:tr>
      <w:tr w:rsidR="00A13A0D" w:rsidRPr="00D50C58" w14:paraId="0BE5B693" w14:textId="77777777" w:rsidTr="006F6088">
        <w:tc>
          <w:tcPr>
            <w:tcW w:w="1129" w:type="pct"/>
            <w:tcBorders>
              <w:bottom w:val="single" w:sz="18" w:space="0" w:color="auto"/>
            </w:tcBorders>
            <w:vAlign w:val="center"/>
          </w:tcPr>
          <w:p w14:paraId="2EE42E04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</w:pP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t>    Min</w:t>
            </w:r>
            <w:r w:rsidRPr="00D50C58">
              <w:rPr>
                <w:rFonts w:cs="Times New Roman"/>
                <w:b/>
                <w:bCs/>
              </w:rPr>
              <w:t>–</w:t>
            </w:r>
            <w:r w:rsidRPr="00D50C58">
              <w:rPr>
                <w:rFonts w:eastAsia="Yu Gothic" w:cs="Times New Roman"/>
                <w:b/>
                <w:bCs/>
                <w:color w:val="000000" w:themeColor="text1"/>
                <w:kern w:val="24"/>
              </w:rPr>
              <w:t>Max</w:t>
            </w:r>
          </w:p>
        </w:tc>
        <w:tc>
          <w:tcPr>
            <w:tcW w:w="1533" w:type="pct"/>
            <w:tcBorders>
              <w:bottom w:val="single" w:sz="18" w:space="0" w:color="auto"/>
            </w:tcBorders>
            <w:vAlign w:val="center"/>
          </w:tcPr>
          <w:p w14:paraId="02C616A4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  <w:r w:rsidRPr="00D50C58">
              <w:rPr>
                <w:rFonts w:cs="Times New Roman"/>
              </w:rPr>
              <w:t>−</w:t>
            </w: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1.06 to 1.92</w:t>
            </w:r>
          </w:p>
        </w:tc>
        <w:tc>
          <w:tcPr>
            <w:tcW w:w="1469" w:type="pct"/>
            <w:tcBorders>
              <w:bottom w:val="single" w:sz="18" w:space="0" w:color="auto"/>
            </w:tcBorders>
            <w:vAlign w:val="center"/>
          </w:tcPr>
          <w:p w14:paraId="045F3420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  <w:r w:rsidRPr="00D50C58">
              <w:rPr>
                <w:rFonts w:cs="Times New Roman"/>
              </w:rPr>
              <w:t>−</w:t>
            </w:r>
            <w:r w:rsidRPr="00D50C58">
              <w:rPr>
                <w:rFonts w:eastAsia="Yu Gothic" w:cs="Times New Roman"/>
                <w:color w:val="000000" w:themeColor="text1"/>
                <w:kern w:val="24"/>
              </w:rPr>
              <w:t>0.36 to 0.88</w:t>
            </w:r>
          </w:p>
        </w:tc>
        <w:tc>
          <w:tcPr>
            <w:tcW w:w="869" w:type="pct"/>
            <w:tcBorders>
              <w:bottom w:val="single" w:sz="18" w:space="0" w:color="auto"/>
            </w:tcBorders>
          </w:tcPr>
          <w:p w14:paraId="535F58FD" w14:textId="77777777" w:rsidR="00A13A0D" w:rsidRPr="00D50C58" w:rsidRDefault="00A13A0D" w:rsidP="006F6088">
            <w:pPr>
              <w:spacing w:line="480" w:lineRule="auto"/>
              <w:jc w:val="left"/>
              <w:outlineLvl w:val="0"/>
              <w:rPr>
                <w:rFonts w:eastAsia="Yu Gothic" w:cs="Times New Roman"/>
                <w:color w:val="000000" w:themeColor="text1"/>
                <w:kern w:val="24"/>
              </w:rPr>
            </w:pPr>
          </w:p>
        </w:tc>
      </w:tr>
    </w:tbl>
    <w:p w14:paraId="0699D356" w14:textId="77777777" w:rsidR="00A13A0D" w:rsidRDefault="00A13A0D" w:rsidP="00A13A0D">
      <w:pPr>
        <w:spacing w:line="480" w:lineRule="auto"/>
        <w:outlineLvl w:val="0"/>
        <w:rPr>
          <w:rFonts w:cs="Times New Roman"/>
          <w:color w:val="000000"/>
        </w:rPr>
      </w:pPr>
      <w:r w:rsidRPr="00D50C58">
        <w:rPr>
          <w:rFonts w:cs="Times New Roman"/>
          <w:color w:val="000000" w:themeColor="text1"/>
        </w:rPr>
        <w:t xml:space="preserve">* p-value obtained from the group-by-time interaction term in the mixed-effects model, representing the between-group difference in changes of each variable. </w:t>
      </w:r>
      <w:r w:rsidRPr="00D50C58">
        <w:rPr>
          <w:rFonts w:cs="Times New Roman"/>
          <w:color w:val="000000"/>
        </w:rPr>
        <w:t>All patients (N = 22) are included in the analysis using the mixed-effects model, despite missing values at some time points owing to nonoperative management following chemotherapy or simple oversight.</w:t>
      </w:r>
    </w:p>
    <w:p w14:paraId="564D4AFB" w14:textId="77777777" w:rsidR="00A13A0D" w:rsidRPr="00D50C58" w:rsidRDefault="00A13A0D" w:rsidP="00A13A0D">
      <w:pPr>
        <w:spacing w:line="480" w:lineRule="auto"/>
        <w:outlineLvl w:val="0"/>
        <w:rPr>
          <w:rFonts w:cs="Times New Roman"/>
          <w:b/>
          <w:bCs/>
          <w:color w:val="000000" w:themeColor="text1"/>
        </w:rPr>
      </w:pPr>
      <w:r w:rsidRPr="00996E1D">
        <w:rPr>
          <w:color w:val="000000" w:themeColor="text1"/>
        </w:rPr>
        <w:t xml:space="preserve">Abbreviations: </w:t>
      </w:r>
      <w:r>
        <w:rPr>
          <w:i/>
          <w:color w:val="000000" w:themeColor="text1"/>
        </w:rPr>
        <w:t>SD</w:t>
      </w:r>
      <w:r w:rsidRPr="00996E1D">
        <w:rPr>
          <w:color w:val="000000" w:themeColor="text1"/>
        </w:rPr>
        <w:t xml:space="preserve">, </w:t>
      </w:r>
      <w:r>
        <w:rPr>
          <w:color w:val="000000" w:themeColor="text1"/>
        </w:rPr>
        <w:t>standard deviation</w:t>
      </w:r>
      <w:r w:rsidRPr="00996E1D">
        <w:rPr>
          <w:color w:val="000000" w:themeColor="text1"/>
        </w:rPr>
        <w:t xml:space="preserve">; </w:t>
      </w:r>
      <w:r>
        <w:rPr>
          <w:i/>
          <w:color w:val="000000" w:themeColor="text1"/>
        </w:rPr>
        <w:t>IQR</w:t>
      </w:r>
      <w:r w:rsidRPr="00996E1D">
        <w:rPr>
          <w:color w:val="000000" w:themeColor="text1"/>
        </w:rPr>
        <w:t xml:space="preserve">, </w:t>
      </w:r>
      <w:r>
        <w:rPr>
          <w:color w:val="000000" w:themeColor="text1"/>
        </w:rPr>
        <w:t>interquartile range</w:t>
      </w:r>
      <w:r w:rsidRPr="00996E1D">
        <w:rPr>
          <w:color w:val="000000" w:themeColor="text1"/>
        </w:rPr>
        <w:t>;</w:t>
      </w:r>
      <w:r>
        <w:rPr>
          <w:color w:val="000000" w:themeColor="text1"/>
        </w:rPr>
        <w:t xml:space="preserve"> </w:t>
      </w:r>
      <w:r>
        <w:rPr>
          <w:i/>
          <w:iCs/>
          <w:color w:val="000000" w:themeColor="text1"/>
        </w:rPr>
        <w:t>Min</w:t>
      </w:r>
      <w:r w:rsidRPr="00996E1D">
        <w:rPr>
          <w:color w:val="000000" w:themeColor="text1"/>
        </w:rPr>
        <w:t xml:space="preserve">, </w:t>
      </w:r>
      <w:r>
        <w:rPr>
          <w:color w:val="000000" w:themeColor="text1"/>
        </w:rPr>
        <w:t>minimum value</w:t>
      </w:r>
      <w:r w:rsidRPr="00996E1D">
        <w:rPr>
          <w:color w:val="000000" w:themeColor="text1"/>
        </w:rPr>
        <w:t>;</w:t>
      </w:r>
      <w:r>
        <w:rPr>
          <w:color w:val="000000" w:themeColor="text1"/>
        </w:rPr>
        <w:t xml:space="preserve"> </w:t>
      </w:r>
      <w:r>
        <w:rPr>
          <w:i/>
          <w:iCs/>
          <w:color w:val="000000" w:themeColor="text1"/>
        </w:rPr>
        <w:t>Max</w:t>
      </w:r>
      <w:r w:rsidRPr="00996E1D">
        <w:rPr>
          <w:color w:val="000000" w:themeColor="text1"/>
        </w:rPr>
        <w:t xml:space="preserve">, </w:t>
      </w:r>
      <w:r>
        <w:rPr>
          <w:color w:val="000000" w:themeColor="text1"/>
        </w:rPr>
        <w:t>maximum value</w:t>
      </w:r>
    </w:p>
    <w:p w14:paraId="6E42569F" w14:textId="77777777" w:rsidR="00A13A0D" w:rsidRPr="007539E0" w:rsidRDefault="00A13A0D" w:rsidP="00A13A0D">
      <w:pPr>
        <w:spacing w:line="480" w:lineRule="auto"/>
        <w:rPr>
          <w:rFonts w:cs="Times New Roman"/>
          <w:color w:val="000000" w:themeColor="text1"/>
        </w:rPr>
      </w:pPr>
    </w:p>
    <w:p w14:paraId="020210FE" w14:textId="77777777" w:rsidR="00DC2479" w:rsidRDefault="00DC2479"/>
    <w:sectPr w:rsidR="00DC2479" w:rsidSect="00A13A0D">
      <w:headerReference w:type="default" r:id="rId4"/>
      <w:footerReference w:type="even" r:id="rId5"/>
      <w:footerReference w:type="default" r:id="rId6"/>
      <w:pgSz w:w="11906" w:h="16838" w:code="9"/>
      <w:pgMar w:top="1701" w:right="1133" w:bottom="1701" w:left="1701" w:header="851" w:footer="992" w:gutter="0"/>
      <w:lnNumType w:countBy="1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57227590"/>
      <w:docPartObj>
        <w:docPartGallery w:val="Page Numbers (Bottom of Page)"/>
        <w:docPartUnique/>
      </w:docPartObj>
    </w:sdtPr>
    <w:sdtContent>
      <w:p w14:paraId="5D398762" w14:textId="77777777" w:rsidR="00A13A0D" w:rsidRDefault="00A13A0D" w:rsidP="000B57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30BB3C4" w14:textId="77777777" w:rsidR="00A13A0D" w:rsidRDefault="00A13A0D" w:rsidP="00922B41">
    <w:pPr>
      <w:pStyle w:val="Footer"/>
      <w:framePr w:wrap="around" w:vAnchor="text" w:hAnchor="margin" w:xAlign="center" w:y="1"/>
      <w:ind w:right="360"/>
      <w:rPr>
        <w:rStyle w:val="PageNumber"/>
      </w:rPr>
    </w:pPr>
  </w:p>
  <w:p w14:paraId="72FC0EA9" w14:textId="77777777" w:rsidR="00A13A0D" w:rsidRDefault="00A13A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58447163"/>
      <w:docPartObj>
        <w:docPartGallery w:val="Page Numbers (Bottom of Page)"/>
        <w:docPartUnique/>
      </w:docPartObj>
    </w:sdtPr>
    <w:sdtContent>
      <w:p w14:paraId="791D7590" w14:textId="77777777" w:rsidR="00A13A0D" w:rsidRDefault="00A13A0D" w:rsidP="000B57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A34167C" w14:textId="77777777" w:rsidR="00A13A0D" w:rsidRDefault="00A13A0D" w:rsidP="00922B41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1E118" w14:textId="77777777" w:rsidR="00A13A0D" w:rsidRPr="004F1C47" w:rsidRDefault="00A13A0D" w:rsidP="004F1C47">
    <w:pPr>
      <w:pStyle w:val="Header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Miki Y</w:t>
    </w:r>
    <w:r w:rsidRPr="0050390C">
      <w:rPr>
        <w:rFonts w:ascii="Times New Roman" w:hAnsi="Times New Roman"/>
        <w:sz w:val="24"/>
      </w:rPr>
      <w:t xml:space="preserve">. </w:t>
    </w:r>
    <w:r w:rsidRPr="00AA197B">
      <w:rPr>
        <w:rFonts w:ascii="Times New Roman" w:hAnsi="Times New Roman"/>
        <w:i/>
        <w:sz w:val="24"/>
      </w:rPr>
      <w:t xml:space="preserve">et al.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A0D"/>
    <w:rsid w:val="0011328D"/>
    <w:rsid w:val="005B6877"/>
    <w:rsid w:val="00A13A0D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3DAD5"/>
  <w15:chartTrackingRefBased/>
  <w15:docId w15:val="{C0627399-A49F-4098-BE90-462E4F319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A0D"/>
    <w:pPr>
      <w:spacing w:after="0" w:line="240" w:lineRule="auto"/>
    </w:pPr>
    <w:rPr>
      <w:rFonts w:ascii="Times New Roman" w:eastAsia="MS PGothic" w:hAnsi="Times New Roman" w:cs="MS PGothic"/>
      <w:kern w:val="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A0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3A0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A0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3A0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3A0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A0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3A0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A0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A0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A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3A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A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3A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3A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A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3A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A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A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3A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13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A0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13A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3A0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13A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3A0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13A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3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3A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3A0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3A0D"/>
    <w:pPr>
      <w:widowControl w:val="0"/>
      <w:tabs>
        <w:tab w:val="center" w:pos="4252"/>
        <w:tab w:val="right" w:pos="8504"/>
      </w:tabs>
      <w:snapToGrid w:val="0"/>
      <w:jc w:val="both"/>
    </w:pPr>
    <w:rPr>
      <w:rFonts w:ascii="MS Gothic" w:eastAsia="MS Gothic" w:hAnsi="Century" w:cs="Times New Roman"/>
      <w:color w:val="000000"/>
      <w:kern w:val="2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A13A0D"/>
    <w:rPr>
      <w:rFonts w:ascii="MS Gothic" w:eastAsia="MS Gothic" w:hAnsi="Century" w:cs="Times New Roman"/>
      <w:color w:val="000000"/>
      <w:sz w:val="18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13A0D"/>
    <w:pPr>
      <w:widowControl w:val="0"/>
      <w:tabs>
        <w:tab w:val="center" w:pos="4252"/>
        <w:tab w:val="right" w:pos="8504"/>
      </w:tabs>
      <w:snapToGrid w:val="0"/>
      <w:jc w:val="both"/>
    </w:pPr>
    <w:rPr>
      <w:rFonts w:ascii="MS Gothic" w:eastAsia="MS Gothic" w:hAnsi="Century" w:cs="Times New Roman"/>
      <w:color w:val="000000"/>
      <w:kern w:val="2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13A0D"/>
    <w:rPr>
      <w:rFonts w:ascii="MS Gothic" w:eastAsia="MS Gothic" w:hAnsi="Century" w:cs="Times New Roman"/>
      <w:color w:val="000000"/>
      <w:sz w:val="18"/>
      <w:lang w:val="en-US" w:eastAsia="ja-JP"/>
      <w14:ligatures w14:val="none"/>
    </w:rPr>
  </w:style>
  <w:style w:type="character" w:styleId="PageNumber">
    <w:name w:val="page number"/>
    <w:basedOn w:val="DefaultParagraphFont"/>
    <w:uiPriority w:val="99"/>
    <w:rsid w:val="00A13A0D"/>
  </w:style>
  <w:style w:type="table" w:styleId="TableGrid">
    <w:name w:val="Table Grid"/>
    <w:basedOn w:val="TableNormal"/>
    <w:rsid w:val="00A13A0D"/>
    <w:pPr>
      <w:widowControl w:val="0"/>
      <w:spacing w:after="0" w:line="240" w:lineRule="auto"/>
      <w:jc w:val="both"/>
    </w:pPr>
    <w:rPr>
      <w:rFonts w:ascii="MS Mincho" w:eastAsiaTheme="minorEastAsia" w:hAnsi="MS Mincho" w:cs="Times New Roman"/>
      <w:kern w:val="0"/>
      <w:sz w:val="20"/>
      <w:szCs w:val="2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13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2026-06-19T15:05:00Z</dcterms:created>
  <dcterms:modified xsi:type="dcterms:W3CDTF">2026-06-19T15:05:00Z</dcterms:modified>
</cp:coreProperties>
</file>