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79E4" w14:textId="4559F9F8" w:rsidR="00655C14" w:rsidRDefault="00000000" w:rsidP="00655C14">
      <w:pPr>
        <w:spacing w:before="200" w:after="40"/>
        <w:jc w:val="center"/>
      </w:pPr>
      <w:r>
        <w:rPr>
          <w:b/>
          <w:bCs/>
          <w:color w:val="1F4E79"/>
          <w:sz w:val="30"/>
          <w:szCs w:val="30"/>
        </w:rPr>
        <w:t>Su</w:t>
      </w:r>
      <w:r w:rsidR="00655C14">
        <w:rPr>
          <w:b/>
          <w:bCs/>
          <w:color w:val="1F4E79"/>
          <w:sz w:val="30"/>
          <w:szCs w:val="30"/>
        </w:rPr>
        <w:t>pplementary Tables</w:t>
      </w:r>
    </w:p>
    <w:p w14:paraId="0D7B7AB4" w14:textId="77777777" w:rsidR="00655C14" w:rsidRDefault="00655C14" w:rsidP="00655C14">
      <w:pPr>
        <w:spacing w:before="200" w:after="40"/>
        <w:jc w:val="center"/>
      </w:pPr>
    </w:p>
    <w:p w14:paraId="72FA8ABB" w14:textId="77777777" w:rsidR="00DC190E" w:rsidRPr="00FB3AEF" w:rsidRDefault="00DC190E" w:rsidP="00DC190E">
      <w:pPr>
        <w:rPr>
          <w:b/>
          <w:bCs/>
        </w:rPr>
      </w:pPr>
      <w:r>
        <w:rPr>
          <w:b/>
          <w:bCs/>
        </w:rPr>
        <w:t xml:space="preserve">Supplementary </w:t>
      </w:r>
      <w:r w:rsidRPr="00FB3AEF">
        <w:rPr>
          <w:b/>
          <w:bCs/>
        </w:rPr>
        <w:t>Figure-</w:t>
      </w:r>
      <w:r>
        <w:rPr>
          <w:b/>
          <w:bCs/>
        </w:rPr>
        <w:t>S1</w:t>
      </w:r>
      <w:r w:rsidRPr="00FB3AEF">
        <w:rPr>
          <w:b/>
          <w:bCs/>
        </w:rPr>
        <w:t>: Study flow</w:t>
      </w:r>
    </w:p>
    <w:p w14:paraId="10A926CA" w14:textId="77777777" w:rsidR="00DC190E" w:rsidRDefault="00DC190E" w:rsidP="00DC190E">
      <w:pPr>
        <w:spacing w:before="80" w:after="80" w:line="360" w:lineRule="auto"/>
        <w:jc w:val="both"/>
      </w:pPr>
      <w:r w:rsidRPr="00723F6C">
        <w:rPr>
          <w:noProof/>
        </w:rPr>
        <w:drawing>
          <wp:inline distT="0" distB="0" distL="0" distR="0" wp14:anchorId="3C982286" wp14:editId="337153D5">
            <wp:extent cx="3630030" cy="3228816"/>
            <wp:effectExtent l="0" t="0" r="8890" b="0"/>
            <wp:docPr id="347008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089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459" cy="323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1DACA" w14:textId="77777777" w:rsidR="00DC190E" w:rsidRDefault="00DC190E" w:rsidP="00DC190E">
      <w:pPr>
        <w:spacing w:before="60" w:after="60"/>
      </w:pPr>
    </w:p>
    <w:p w14:paraId="2D735532" w14:textId="77777777" w:rsidR="00DC190E" w:rsidRDefault="00DC190E" w:rsidP="00DC190E">
      <w:pPr>
        <w:spacing w:before="220" w:after="80"/>
        <w:rPr>
          <w:b/>
          <w:bCs/>
          <w:color w:val="1A3A5C"/>
        </w:rPr>
      </w:pPr>
    </w:p>
    <w:p w14:paraId="1FA04DC8" w14:textId="3CA42ED4" w:rsidR="00655C14" w:rsidRDefault="00655C14" w:rsidP="00655C14">
      <w:pPr>
        <w:spacing w:before="200" w:after="40"/>
        <w:rPr>
          <w:b/>
          <w:bCs/>
        </w:rPr>
      </w:pPr>
      <w:r w:rsidRPr="004A440C">
        <w:rPr>
          <w:b/>
          <w:bCs/>
        </w:rPr>
        <w:t>Supplementary Table 1:</w:t>
      </w:r>
      <w:r>
        <w:t xml:space="preserve"> </w:t>
      </w:r>
      <w:r w:rsidRPr="004A440C">
        <w:t>Mode of Respiratory Support on Days 1, 2, and 3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175"/>
        <w:gridCol w:w="2175"/>
        <w:gridCol w:w="2175"/>
      </w:tblGrid>
      <w:tr w:rsidR="00655C14" w14:paraId="6CD15340" w14:textId="77777777" w:rsidTr="009E0175">
        <w:trPr>
          <w:tblHeader/>
        </w:trPr>
        <w:tc>
          <w:tcPr>
            <w:tcW w:w="3500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421FC7D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Mode of Support</w:t>
            </w:r>
          </w:p>
        </w:tc>
        <w:tc>
          <w:tcPr>
            <w:tcW w:w="2175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6E01BDA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Day 1  n (%)</w:t>
            </w:r>
          </w:p>
        </w:tc>
        <w:tc>
          <w:tcPr>
            <w:tcW w:w="2175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E996F3C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Day 2  n (%)</w:t>
            </w:r>
          </w:p>
        </w:tc>
        <w:tc>
          <w:tcPr>
            <w:tcW w:w="2175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F4D2000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Day 3  n (%)</w:t>
            </w:r>
          </w:p>
        </w:tc>
      </w:tr>
      <w:tr w:rsidR="00655C14" w14:paraId="35795C82" w14:textId="77777777" w:rsidTr="009E0175">
        <w:tc>
          <w:tcPr>
            <w:tcW w:w="3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573A162" w14:textId="77777777" w:rsidR="00655C14" w:rsidRDefault="00655C14" w:rsidP="009E0175">
            <w:r>
              <w:rPr>
                <w:sz w:val="17"/>
                <w:szCs w:val="17"/>
              </w:rPr>
              <w:t>Invasive mechanical ventilation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002EC11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17 (8.2%)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B271C3E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4 (2.1%)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736F16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5 (2.8%)</w:t>
            </w:r>
          </w:p>
        </w:tc>
      </w:tr>
      <w:tr w:rsidR="00655C14" w14:paraId="625A3360" w14:textId="77777777" w:rsidTr="009E0175">
        <w:tc>
          <w:tcPr>
            <w:tcW w:w="3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BDEC5F0" w14:textId="77777777" w:rsidR="00655C14" w:rsidRDefault="00655C14" w:rsidP="009E0175">
            <w:r>
              <w:rPr>
                <w:sz w:val="17"/>
                <w:szCs w:val="17"/>
              </w:rPr>
              <w:t>CPAP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C5C5270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126 (60.9%)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CD3931C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49 (25.9%)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BBFA643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36 (19.9%)</w:t>
            </w:r>
          </w:p>
        </w:tc>
      </w:tr>
      <w:tr w:rsidR="00655C14" w14:paraId="775E602A" w14:textId="77777777" w:rsidTr="009E0175">
        <w:tc>
          <w:tcPr>
            <w:tcW w:w="3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971DE50" w14:textId="77777777" w:rsidR="00655C14" w:rsidRDefault="00655C14" w:rsidP="009E0175">
            <w:r>
              <w:rPr>
                <w:sz w:val="17"/>
                <w:szCs w:val="17"/>
              </w:rPr>
              <w:t>NIPPV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06A873D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12 (5.8%)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1D329BD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5 (2.6%)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CF53E28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2 (1.1%)</w:t>
            </w:r>
          </w:p>
        </w:tc>
      </w:tr>
      <w:tr w:rsidR="00655C14" w14:paraId="2F0E6728" w14:textId="77777777" w:rsidTr="009E0175">
        <w:tc>
          <w:tcPr>
            <w:tcW w:w="3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A9C3114" w14:textId="77777777" w:rsidR="00655C14" w:rsidRDefault="00655C14" w:rsidP="009E0175">
            <w:r>
              <w:rPr>
                <w:sz w:val="17"/>
                <w:szCs w:val="17"/>
              </w:rPr>
              <w:t>HFNC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513B5FD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 (0.5%)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0399023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2 (1.1%)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B5B77C3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2 (1.1%)</w:t>
            </w:r>
          </w:p>
        </w:tc>
      </w:tr>
      <w:tr w:rsidR="00655C14" w14:paraId="175B5AA7" w14:textId="77777777" w:rsidTr="009E0175">
        <w:tc>
          <w:tcPr>
            <w:tcW w:w="3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69831FC" w14:textId="77777777" w:rsidR="00655C14" w:rsidRDefault="00655C14" w:rsidP="009E0175">
            <w:r>
              <w:rPr>
                <w:sz w:val="17"/>
                <w:szCs w:val="17"/>
              </w:rPr>
              <w:t>Supplemental oxygen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C28330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3 (1.4%)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C2F9ED4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 (0.5%)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ED1569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2 (1.1%)</w:t>
            </w:r>
          </w:p>
        </w:tc>
      </w:tr>
      <w:tr w:rsidR="00655C14" w14:paraId="793C3699" w14:textId="77777777" w:rsidTr="009E0175">
        <w:tc>
          <w:tcPr>
            <w:tcW w:w="3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B175BD" w14:textId="77777777" w:rsidR="00655C14" w:rsidRDefault="00655C14" w:rsidP="009E0175">
            <w:r>
              <w:rPr>
                <w:sz w:val="17"/>
                <w:szCs w:val="17"/>
              </w:rPr>
              <w:t>Room air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FE8890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65 (31.4%)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FC9B8EE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132 (69.8%)</w:t>
            </w:r>
          </w:p>
        </w:tc>
        <w:tc>
          <w:tcPr>
            <w:tcW w:w="2175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C85A47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139 (76.8%)</w:t>
            </w:r>
          </w:p>
        </w:tc>
      </w:tr>
    </w:tbl>
    <w:p w14:paraId="4A11FAF8" w14:textId="77777777" w:rsidR="00655C14" w:rsidRDefault="00655C14" w:rsidP="00655C14">
      <w:pPr>
        <w:spacing w:before="200" w:after="40"/>
      </w:pPr>
    </w:p>
    <w:p w14:paraId="200825E6" w14:textId="25D428AF" w:rsidR="00655C14" w:rsidRPr="004A440C" w:rsidRDefault="00655C14" w:rsidP="00655C14">
      <w:pPr>
        <w:spacing w:before="200" w:after="40"/>
      </w:pPr>
      <w:r w:rsidRPr="004A440C">
        <w:rPr>
          <w:b/>
          <w:bCs/>
        </w:rPr>
        <w:t xml:space="preserve">Supplementary Table 2: </w:t>
      </w:r>
      <w:r w:rsidRPr="004A440C">
        <w:t>Diagnostic Accuracy of LUS Score on Days 1, 2, and 3 for Predicting Surfactant Requirement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208"/>
        <w:gridCol w:w="2208"/>
        <w:gridCol w:w="2208"/>
      </w:tblGrid>
      <w:tr w:rsidR="00655C14" w14:paraId="4D1E424F" w14:textId="77777777" w:rsidTr="009E0175">
        <w:trPr>
          <w:tblHeader/>
        </w:trPr>
        <w:tc>
          <w:tcPr>
            <w:tcW w:w="3200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479D781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Metric</w:t>
            </w:r>
          </w:p>
        </w:tc>
        <w:tc>
          <w:tcPr>
            <w:tcW w:w="2208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14D2E6D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Day 1  LUS ≥4</w:t>
            </w:r>
          </w:p>
        </w:tc>
        <w:tc>
          <w:tcPr>
            <w:tcW w:w="2208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8FAFF24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Day 2  LUS ≥2</w:t>
            </w:r>
          </w:p>
        </w:tc>
        <w:tc>
          <w:tcPr>
            <w:tcW w:w="2208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01ABEFF" w14:textId="77777777" w:rsidR="00655C14" w:rsidRDefault="00655C14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Day 3  LUS ≥1</w:t>
            </w:r>
          </w:p>
        </w:tc>
      </w:tr>
      <w:tr w:rsidR="00655C14" w14:paraId="0D534039" w14:textId="77777777" w:rsidTr="009E0175">
        <w:tc>
          <w:tcPr>
            <w:tcW w:w="32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CE2AC57" w14:textId="77777777" w:rsidR="00655C14" w:rsidRDefault="00655C14" w:rsidP="009E0175">
            <w:r>
              <w:rPr>
                <w:sz w:val="17"/>
                <w:szCs w:val="17"/>
              </w:rPr>
              <w:t>AUC (95% CI)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EFA3EB4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0.84 (0.75–0.93)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44429A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0.85 (0.76–0.94)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2BBE529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0.68 (0.55–0.82)</w:t>
            </w:r>
          </w:p>
        </w:tc>
      </w:tr>
      <w:tr w:rsidR="00655C14" w14:paraId="3016B578" w14:textId="77777777" w:rsidTr="009E0175">
        <w:tc>
          <w:tcPr>
            <w:tcW w:w="32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DD37484" w14:textId="77777777" w:rsidR="00655C14" w:rsidRDefault="00655C14" w:rsidP="009E0175">
            <w:r>
              <w:rPr>
                <w:sz w:val="17"/>
                <w:szCs w:val="17"/>
              </w:rPr>
              <w:t>Sensitivity (95% CI)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429D36E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78% (61–90%)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3A0F6E2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59% (36–79%)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2C005D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69% (41–89%)</w:t>
            </w:r>
          </w:p>
        </w:tc>
      </w:tr>
      <w:tr w:rsidR="00655C14" w14:paraId="35D1D04C" w14:textId="77777777" w:rsidTr="009E0175">
        <w:tc>
          <w:tcPr>
            <w:tcW w:w="32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23C9395" w14:textId="77777777" w:rsidR="00655C14" w:rsidRDefault="00655C14" w:rsidP="009E0175">
            <w:r>
              <w:rPr>
                <w:sz w:val="17"/>
                <w:szCs w:val="17"/>
              </w:rPr>
              <w:t>Specificity (95% CI)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8F6B6EA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82% (76–88%)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BD3E52E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90% (85–94%)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B0BFC11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67% (60–74%)</w:t>
            </w:r>
          </w:p>
        </w:tc>
      </w:tr>
      <w:tr w:rsidR="00655C14" w14:paraId="1D6A56D0" w14:textId="77777777" w:rsidTr="009E0175">
        <w:tc>
          <w:tcPr>
            <w:tcW w:w="32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D30CF52" w14:textId="77777777" w:rsidR="00655C14" w:rsidRDefault="00655C14" w:rsidP="009E0175">
            <w:r>
              <w:rPr>
                <w:sz w:val="17"/>
                <w:szCs w:val="17"/>
              </w:rPr>
              <w:t>PPV (95% CI)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48E6337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48% (35–62%)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5811A6F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45% (26–64%)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4DFEBEB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17% (9–28%)</w:t>
            </w:r>
          </w:p>
        </w:tc>
      </w:tr>
      <w:tr w:rsidR="00655C14" w14:paraId="5E96E5B6" w14:textId="77777777" w:rsidTr="009E0175">
        <w:tc>
          <w:tcPr>
            <w:tcW w:w="32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3912522" w14:textId="77777777" w:rsidR="00655C14" w:rsidRDefault="00655C14" w:rsidP="009E0175">
            <w:r>
              <w:rPr>
                <w:sz w:val="17"/>
                <w:szCs w:val="17"/>
              </w:rPr>
              <w:t>NPV (95% CI)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24A4C56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95% (90–98%)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75F67EB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94% (90–97%)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22272B1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96% (90–99%)</w:t>
            </w:r>
          </w:p>
        </w:tc>
      </w:tr>
      <w:tr w:rsidR="00655C14" w14:paraId="46DFB5E7" w14:textId="77777777" w:rsidTr="009E0175">
        <w:tc>
          <w:tcPr>
            <w:tcW w:w="32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F76928" w14:textId="77777777" w:rsidR="00655C14" w:rsidRDefault="00655C14" w:rsidP="009E0175">
            <w:r>
              <w:rPr>
                <w:sz w:val="17"/>
                <w:szCs w:val="17"/>
              </w:rPr>
              <w:lastRenderedPageBreak/>
              <w:t>Positive LR (95% CI)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8A0EE7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4.43 (3.07–6.41)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66A98ED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6.17 (3.45–11.03)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27969E1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2.10 (1.41–3.12)</w:t>
            </w:r>
          </w:p>
        </w:tc>
      </w:tr>
      <w:tr w:rsidR="00655C14" w14:paraId="658C51DC" w14:textId="77777777" w:rsidTr="009E0175">
        <w:tc>
          <w:tcPr>
            <w:tcW w:w="32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F523E9B" w14:textId="77777777" w:rsidR="00655C14" w:rsidRDefault="00655C14" w:rsidP="009E0175">
            <w:r>
              <w:rPr>
                <w:sz w:val="17"/>
                <w:szCs w:val="17"/>
              </w:rPr>
              <w:t>Negative LR (95% CI)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138720F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0.27 (0.15–0.50)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D7C9AAA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0.45 (0.27–0.75)</w:t>
            </w:r>
          </w:p>
        </w:tc>
        <w:tc>
          <w:tcPr>
            <w:tcW w:w="2208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0465735" w14:textId="77777777" w:rsidR="00655C14" w:rsidRDefault="00655C14" w:rsidP="009E0175">
            <w:pPr>
              <w:jc w:val="center"/>
            </w:pPr>
            <w:r>
              <w:rPr>
                <w:sz w:val="17"/>
                <w:szCs w:val="17"/>
              </w:rPr>
              <w:t>0.46 (0.22–0.97)</w:t>
            </w:r>
          </w:p>
        </w:tc>
      </w:tr>
    </w:tbl>
    <w:p w14:paraId="13553D31" w14:textId="77777777" w:rsidR="004A440C" w:rsidRDefault="004A440C" w:rsidP="00655C14">
      <w:pPr>
        <w:spacing w:before="200" w:after="40"/>
      </w:pPr>
    </w:p>
    <w:p w14:paraId="19E52531" w14:textId="2C0DAA88" w:rsidR="004A440C" w:rsidRDefault="00DC190E" w:rsidP="00655C14">
      <w:pPr>
        <w:spacing w:before="200" w:after="40"/>
      </w:pPr>
      <w:r>
        <w:rPr>
          <w:b/>
          <w:bCs/>
        </w:rPr>
        <w:t xml:space="preserve">Supplementary </w:t>
      </w:r>
      <w:r w:rsidR="004A440C" w:rsidRPr="004A440C">
        <w:rPr>
          <w:b/>
          <w:bCs/>
        </w:rPr>
        <w:t xml:space="preserve">Figure </w:t>
      </w:r>
      <w:r>
        <w:rPr>
          <w:b/>
          <w:bCs/>
        </w:rPr>
        <w:t>S2</w:t>
      </w:r>
      <w:r w:rsidR="004A440C" w:rsidRPr="004A440C">
        <w:rPr>
          <w:b/>
          <w:bCs/>
        </w:rPr>
        <w:t>:</w:t>
      </w:r>
      <w:r w:rsidR="004A440C">
        <w:t xml:space="preserve"> </w:t>
      </w:r>
      <w:r w:rsidR="004A440C" w:rsidRPr="004A440C">
        <w:t xml:space="preserve">Distribution of Day-1 </w:t>
      </w:r>
      <w:r w:rsidR="004A440C">
        <w:t>LUS</w:t>
      </w:r>
      <w:r w:rsidR="004A440C" w:rsidRPr="004A440C">
        <w:t xml:space="preserve"> scores stratified by IMV requirement within 7 days of life</w:t>
      </w:r>
    </w:p>
    <w:p w14:paraId="542102B0" w14:textId="258C8E8E" w:rsidR="004A440C" w:rsidRDefault="004A440C" w:rsidP="00655C14">
      <w:pPr>
        <w:spacing w:before="200" w:after="40"/>
      </w:pPr>
      <w:r>
        <w:rPr>
          <w:noProof/>
        </w:rPr>
        <w:drawing>
          <wp:inline distT="0" distB="0" distL="0" distR="0" wp14:anchorId="1C45A478" wp14:editId="301E0F92">
            <wp:extent cx="3396059" cy="2863850"/>
            <wp:effectExtent l="0" t="0" r="0" b="0"/>
            <wp:docPr id="2096478227" name="Picture 2096478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t="10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87" cy="2875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66E40" w14:textId="77777777" w:rsidR="004A440C" w:rsidRDefault="004A440C" w:rsidP="00655C14">
      <w:pPr>
        <w:spacing w:before="200" w:after="40"/>
      </w:pPr>
    </w:p>
    <w:p w14:paraId="2F5A184D" w14:textId="77777777" w:rsidR="004A440C" w:rsidRDefault="004A440C" w:rsidP="004A440C">
      <w:pPr>
        <w:spacing w:before="200" w:after="40"/>
      </w:pPr>
    </w:p>
    <w:p w14:paraId="45195270" w14:textId="6BD7B178" w:rsidR="004A440C" w:rsidRPr="004A440C" w:rsidRDefault="004A440C" w:rsidP="004A440C">
      <w:pPr>
        <w:spacing w:before="120" w:after="120"/>
      </w:pPr>
      <w:r w:rsidRPr="004A440C">
        <w:rPr>
          <w:b/>
          <w:bCs/>
        </w:rPr>
        <w:t>Supplementary Table 3</w:t>
      </w:r>
      <w:r w:rsidRPr="004A440C">
        <w:t xml:space="preserve">: Multivariate Logistic Regression - Predictors of IMV by Day 7 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00"/>
        <w:gridCol w:w="1500"/>
        <w:gridCol w:w="1824"/>
      </w:tblGrid>
      <w:tr w:rsidR="004A440C" w14:paraId="7B89536A" w14:textId="77777777" w:rsidTr="009E0175">
        <w:trPr>
          <w:tblHeader/>
        </w:trPr>
        <w:tc>
          <w:tcPr>
            <w:tcW w:w="3600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7C64E1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Variable</w:t>
            </w:r>
          </w:p>
        </w:tc>
        <w:tc>
          <w:tcPr>
            <w:tcW w:w="1800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A3715E7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Odds Ratio</w:t>
            </w:r>
          </w:p>
        </w:tc>
        <w:tc>
          <w:tcPr>
            <w:tcW w:w="1500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E503D06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95% CI (Lower)</w:t>
            </w:r>
          </w:p>
        </w:tc>
        <w:tc>
          <w:tcPr>
            <w:tcW w:w="1500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741DDA1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95% CI (Upper)</w:t>
            </w:r>
          </w:p>
        </w:tc>
        <w:tc>
          <w:tcPr>
            <w:tcW w:w="182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4E04A26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p-value</w:t>
            </w:r>
          </w:p>
        </w:tc>
      </w:tr>
      <w:tr w:rsidR="004A440C" w14:paraId="0D84AEB2" w14:textId="77777777" w:rsidTr="009E0175">
        <w:tc>
          <w:tcPr>
            <w:tcW w:w="10224" w:type="dxa"/>
            <w:gridSpan w:val="5"/>
            <w:tcBorders>
              <w:top w:val="single" w:sz="4" w:space="0" w:color="AEB6BF"/>
              <w:left w:val="single" w:sz="4" w:space="0" w:color="AEB6BF"/>
              <w:bottom w:val="single" w:sz="4" w:space="0" w:color="AEB6BF"/>
              <w:right w:val="single" w:sz="4" w:space="0" w:color="AEB6BF"/>
            </w:tcBorders>
            <w:shd w:val="clear" w:color="auto" w:fill="D0E4F0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E5211E0" w14:textId="77777777" w:rsidR="004A440C" w:rsidRDefault="004A440C" w:rsidP="009E0175">
            <w:r>
              <w:rPr>
                <w:b/>
                <w:bCs/>
                <w:color w:val="1A3A5C"/>
                <w:sz w:val="18"/>
                <w:szCs w:val="18"/>
              </w:rPr>
              <w:t>Predictors of IMV by Day 7</w:t>
            </w:r>
          </w:p>
        </w:tc>
      </w:tr>
      <w:tr w:rsidR="004A440C" w14:paraId="5E56C3F4" w14:textId="77777777" w:rsidTr="009E0175">
        <w:tc>
          <w:tcPr>
            <w:tcW w:w="36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62EA0DB" w14:textId="77777777" w:rsidR="004A440C" w:rsidRDefault="004A440C" w:rsidP="009E0175">
            <w:r>
              <w:rPr>
                <w:sz w:val="17"/>
                <w:szCs w:val="17"/>
              </w:rPr>
              <w:t>Surfactant use</w:t>
            </w:r>
          </w:p>
        </w:tc>
        <w:tc>
          <w:tcPr>
            <w:tcW w:w="18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5DDC242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61.50</w:t>
            </w:r>
          </w:p>
        </w:tc>
        <w:tc>
          <w:tcPr>
            <w:tcW w:w="1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7722982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9.15</w:t>
            </w:r>
          </w:p>
        </w:tc>
        <w:tc>
          <w:tcPr>
            <w:tcW w:w="1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AF174D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1251.23</w:t>
            </w:r>
          </w:p>
        </w:tc>
        <w:tc>
          <w:tcPr>
            <w:tcW w:w="1824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51DABDC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&lt;0.001</w:t>
            </w:r>
          </w:p>
        </w:tc>
      </w:tr>
      <w:tr w:rsidR="004A440C" w14:paraId="5954D293" w14:textId="77777777" w:rsidTr="009E0175">
        <w:tc>
          <w:tcPr>
            <w:tcW w:w="36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1A847D9" w14:textId="77777777" w:rsidR="004A440C" w:rsidRDefault="004A440C" w:rsidP="009E0175">
            <w:r>
              <w:rPr>
                <w:sz w:val="17"/>
                <w:szCs w:val="17"/>
              </w:rPr>
              <w:t>Hs-PDA</w:t>
            </w:r>
          </w:p>
        </w:tc>
        <w:tc>
          <w:tcPr>
            <w:tcW w:w="18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FD9325C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6.83</w:t>
            </w:r>
          </w:p>
        </w:tc>
        <w:tc>
          <w:tcPr>
            <w:tcW w:w="1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A6DEE27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1.22</w:t>
            </w:r>
          </w:p>
        </w:tc>
        <w:tc>
          <w:tcPr>
            <w:tcW w:w="1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6563C63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55.36</w:t>
            </w:r>
          </w:p>
        </w:tc>
        <w:tc>
          <w:tcPr>
            <w:tcW w:w="1824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EBF5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557834D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0.040</w:t>
            </w:r>
          </w:p>
        </w:tc>
      </w:tr>
      <w:tr w:rsidR="004A440C" w14:paraId="5071739D" w14:textId="77777777" w:rsidTr="009E0175">
        <w:tc>
          <w:tcPr>
            <w:tcW w:w="36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1F34AF" w14:textId="77777777" w:rsidR="004A440C" w:rsidRDefault="004A440C" w:rsidP="009E0175">
            <w:r>
              <w:rPr>
                <w:sz w:val="17"/>
                <w:szCs w:val="17"/>
              </w:rPr>
              <w:t>SNAPPE-II score (per unit increase)</w:t>
            </w:r>
          </w:p>
        </w:tc>
        <w:tc>
          <w:tcPr>
            <w:tcW w:w="18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634EAE7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1.06</w:t>
            </w:r>
          </w:p>
        </w:tc>
        <w:tc>
          <w:tcPr>
            <w:tcW w:w="1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72464C8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1.00</w:t>
            </w:r>
          </w:p>
        </w:tc>
        <w:tc>
          <w:tcPr>
            <w:tcW w:w="1500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A3AFD5D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1.12</w:t>
            </w:r>
          </w:p>
        </w:tc>
        <w:tc>
          <w:tcPr>
            <w:tcW w:w="1824" w:type="dxa"/>
            <w:tcBorders>
              <w:top w:val="single" w:sz="2" w:space="0" w:color="AEB6BF"/>
              <w:left w:val="single" w:sz="2" w:space="0" w:color="AEB6BF"/>
              <w:bottom w:val="single" w:sz="2" w:space="0" w:color="AEB6BF"/>
              <w:right w:val="single" w:sz="2" w:space="0" w:color="AEB6BF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4168ECE" w14:textId="77777777" w:rsidR="004A440C" w:rsidRDefault="004A440C" w:rsidP="009E0175">
            <w:pPr>
              <w:jc w:val="center"/>
            </w:pPr>
            <w:r>
              <w:rPr>
                <w:sz w:val="17"/>
                <w:szCs w:val="17"/>
              </w:rPr>
              <w:t>0.044</w:t>
            </w:r>
          </w:p>
        </w:tc>
      </w:tr>
      <w:tr w:rsidR="004A440C" w14:paraId="178DF7CE" w14:textId="77777777" w:rsidTr="009E0175">
        <w:tc>
          <w:tcPr>
            <w:tcW w:w="10224" w:type="dxa"/>
            <w:gridSpan w:val="5"/>
            <w:tcBorders>
              <w:top w:val="single" w:sz="4" w:space="0" w:color="AEB6BF"/>
              <w:left w:val="single" w:sz="4" w:space="0" w:color="AEB6BF"/>
              <w:bottom w:val="single" w:sz="4" w:space="0" w:color="AEB6BF"/>
              <w:right w:val="single" w:sz="4" w:space="0" w:color="AEB6BF"/>
            </w:tcBorders>
            <w:shd w:val="clear" w:color="auto" w:fill="D0E4F0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B6D34C3" w14:textId="77777777" w:rsidR="004A440C" w:rsidRDefault="004A440C" w:rsidP="009E0175">
            <w:r>
              <w:rPr>
                <w:b/>
                <w:bCs/>
                <w:color w:val="1A3A5C"/>
                <w:sz w:val="18"/>
                <w:szCs w:val="18"/>
              </w:rPr>
              <w:t>(Model: pseudo-R² = 0.192, AIC = 220.95)</w:t>
            </w:r>
          </w:p>
        </w:tc>
      </w:tr>
    </w:tbl>
    <w:p w14:paraId="3C6860F2" w14:textId="77777777" w:rsidR="004A440C" w:rsidRDefault="004A440C" w:rsidP="004A440C"/>
    <w:p w14:paraId="5ABC62E2" w14:textId="77777777" w:rsidR="00611538" w:rsidRDefault="00611538">
      <w:pPr>
        <w:spacing w:before="120" w:after="120"/>
        <w:rPr>
          <w:b/>
          <w:bCs/>
        </w:rPr>
      </w:pPr>
    </w:p>
    <w:p w14:paraId="6B59DDC3" w14:textId="1337B235" w:rsidR="004A440C" w:rsidRDefault="004A440C">
      <w:pPr>
        <w:spacing w:before="120" w:after="120"/>
        <w:rPr>
          <w:b/>
          <w:bCs/>
        </w:rPr>
      </w:pPr>
      <w:r>
        <w:rPr>
          <w:b/>
          <w:bCs/>
        </w:rPr>
        <w:t xml:space="preserve">Supplementary Table 4: </w:t>
      </w:r>
      <w:r w:rsidRPr="004A440C">
        <w:t>Predictive Performance of Day 1 LUS for IMV by Day 7 and Surfactant Requirement Across Subgroups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701"/>
        <w:gridCol w:w="1559"/>
        <w:gridCol w:w="3686"/>
      </w:tblGrid>
      <w:tr w:rsidR="004A440C" w14:paraId="769E8E30" w14:textId="77777777" w:rsidTr="00611538">
        <w:trPr>
          <w:tblHeader/>
        </w:trPr>
        <w:tc>
          <w:tcPr>
            <w:tcW w:w="16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71295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Outcome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0CFF2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Cohort</w:t>
            </w:r>
          </w:p>
        </w:tc>
        <w:tc>
          <w:tcPr>
            <w:tcW w:w="17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</w:tcPr>
          <w:p w14:paraId="6E464D74" w14:textId="77777777" w:rsidR="004A440C" w:rsidRDefault="004A440C" w:rsidP="009E0175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Optimal Threshold</w:t>
            </w:r>
          </w:p>
        </w:tc>
        <w:tc>
          <w:tcPr>
            <w:tcW w:w="15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6537A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AUC (95% CI)</w:t>
            </w:r>
          </w:p>
        </w:tc>
        <w:tc>
          <w:tcPr>
            <w:tcW w:w="36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D3E5E" w14:textId="3A741ADF" w:rsidR="004A440C" w:rsidRDefault="004A440C" w:rsidP="009E01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Performance</w:t>
            </w:r>
          </w:p>
        </w:tc>
      </w:tr>
      <w:tr w:rsidR="004A440C" w14:paraId="3B6A675D" w14:textId="77777777" w:rsidTr="00611538">
        <w:tc>
          <w:tcPr>
            <w:tcW w:w="169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1B2CF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1F4E79"/>
              </w:rPr>
              <w:t>IMV by Day 7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59448" w14:textId="77777777" w:rsidR="004A440C" w:rsidRDefault="004A440C" w:rsidP="009E0175">
            <w:r>
              <w:rPr>
                <w:color w:val="000000"/>
                <w:sz w:val="18"/>
                <w:szCs w:val="18"/>
              </w:rPr>
              <w:t>GA &lt;32 wks</w:t>
            </w:r>
          </w:p>
        </w:tc>
        <w:tc>
          <w:tcPr>
            <w:tcW w:w="17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vAlign w:val="center"/>
          </w:tcPr>
          <w:p w14:paraId="384642E8" w14:textId="77777777" w:rsidR="004A440C" w:rsidRDefault="004A440C" w:rsidP="009E01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LUS score: ≥6</w:t>
            </w:r>
          </w:p>
        </w:tc>
        <w:tc>
          <w:tcPr>
            <w:tcW w:w="15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19352" w14:textId="24CF00A3" w:rsidR="004A440C" w:rsidRPr="004A440C" w:rsidRDefault="004A440C" w:rsidP="009E0175">
            <w:pPr>
              <w:jc w:val="center"/>
            </w:pPr>
            <w:r w:rsidRPr="004A440C">
              <w:rPr>
                <w:color w:val="000000"/>
                <w:sz w:val="18"/>
                <w:szCs w:val="18"/>
              </w:rPr>
              <w:t xml:space="preserve">0.684 </w:t>
            </w:r>
            <w:r w:rsidRPr="004A440C">
              <w:rPr>
                <w:color w:val="000000"/>
                <w:sz w:val="18"/>
                <w:szCs w:val="18"/>
              </w:rPr>
              <w:br/>
              <w:t>(0.521–0.850)</w:t>
            </w:r>
          </w:p>
        </w:tc>
        <w:tc>
          <w:tcPr>
            <w:tcW w:w="36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DB736" w14:textId="77777777" w:rsidR="004A440C" w:rsidRPr="004A440C" w:rsidRDefault="004A440C" w:rsidP="00611538">
            <w:pPr>
              <w:spacing w:line="276" w:lineRule="auto"/>
              <w:jc w:val="center"/>
            </w:pPr>
            <w:r w:rsidRPr="004A440C">
              <w:rPr>
                <w:color w:val="000000"/>
                <w:sz w:val="18"/>
                <w:szCs w:val="18"/>
              </w:rPr>
              <w:t xml:space="preserve">Sensitivity 62.5%, Specificity 81.2%, </w:t>
            </w:r>
            <w:r w:rsidRPr="004A440C">
              <w:rPr>
                <w:color w:val="000000"/>
                <w:sz w:val="18"/>
                <w:szCs w:val="18"/>
              </w:rPr>
              <w:br/>
              <w:t xml:space="preserve">PPV 52.6%, NPV 86.7%; </w:t>
            </w:r>
            <w:r w:rsidRPr="004A440C">
              <w:rPr>
                <w:color w:val="000000"/>
                <w:sz w:val="18"/>
                <w:szCs w:val="18"/>
              </w:rPr>
              <w:br/>
              <w:t>LR+ 3.33 / LR−</w:t>
            </w:r>
            <w:r w:rsidRPr="004A440C">
              <w:t xml:space="preserve"> </w:t>
            </w:r>
            <w:r w:rsidRPr="004A440C">
              <w:rPr>
                <w:color w:val="000000"/>
                <w:sz w:val="18"/>
                <w:szCs w:val="18"/>
              </w:rPr>
              <w:t xml:space="preserve"> 0.46</w:t>
            </w:r>
          </w:p>
        </w:tc>
      </w:tr>
      <w:tr w:rsidR="004A440C" w14:paraId="462F5F43" w14:textId="77777777" w:rsidTr="00611538">
        <w:tc>
          <w:tcPr>
            <w:tcW w:w="169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7C0C1EF7" w14:textId="77777777" w:rsidR="004A440C" w:rsidRDefault="004A440C" w:rsidP="009E0175"/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CF52B" w14:textId="77777777" w:rsidR="004A440C" w:rsidRDefault="004A440C" w:rsidP="009E0175">
            <w:r>
              <w:rPr>
                <w:color w:val="000000"/>
                <w:sz w:val="18"/>
                <w:szCs w:val="18"/>
              </w:rPr>
              <w:t>Respiratory support</w:t>
            </w:r>
          </w:p>
        </w:tc>
        <w:tc>
          <w:tcPr>
            <w:tcW w:w="17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2426742D" w14:textId="77777777" w:rsidR="004A440C" w:rsidRDefault="004A440C" w:rsidP="009E01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LUS score: ≥5</w:t>
            </w:r>
          </w:p>
        </w:tc>
        <w:tc>
          <w:tcPr>
            <w:tcW w:w="15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39812" w14:textId="34582483" w:rsidR="004A440C" w:rsidRPr="004A440C" w:rsidRDefault="004A440C" w:rsidP="009E0175">
            <w:pPr>
              <w:jc w:val="center"/>
            </w:pPr>
            <w:r w:rsidRPr="004A440C">
              <w:rPr>
                <w:color w:val="000000"/>
                <w:sz w:val="18"/>
                <w:szCs w:val="18"/>
              </w:rPr>
              <w:t xml:space="preserve">0.693 </w:t>
            </w:r>
            <w:r w:rsidRPr="004A440C">
              <w:rPr>
                <w:color w:val="000000"/>
                <w:sz w:val="18"/>
                <w:szCs w:val="18"/>
              </w:rPr>
              <w:br/>
              <w:t>(0.553–0.822)</w:t>
            </w:r>
          </w:p>
        </w:tc>
        <w:tc>
          <w:tcPr>
            <w:tcW w:w="36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DCD72" w14:textId="77777777" w:rsidR="004A440C" w:rsidRPr="004A440C" w:rsidRDefault="004A440C" w:rsidP="00611538">
            <w:pPr>
              <w:spacing w:line="276" w:lineRule="auto"/>
              <w:jc w:val="center"/>
            </w:pPr>
            <w:r w:rsidRPr="004A440C">
              <w:rPr>
                <w:color w:val="000000"/>
                <w:sz w:val="18"/>
                <w:szCs w:val="18"/>
              </w:rPr>
              <w:t xml:space="preserve">Sensitivity 65.4%, Specificity 71.7%, </w:t>
            </w:r>
            <w:r w:rsidRPr="004A440C">
              <w:rPr>
                <w:color w:val="000000"/>
                <w:sz w:val="18"/>
                <w:szCs w:val="18"/>
              </w:rPr>
              <w:br/>
              <w:t>PPV 34.7%, NPV 90.0%</w:t>
            </w:r>
            <w:r w:rsidRPr="004A440C">
              <w:rPr>
                <w:color w:val="000000"/>
                <w:sz w:val="18"/>
                <w:szCs w:val="18"/>
              </w:rPr>
              <w:br/>
              <w:t>LR+ 2.31 / LR−</w:t>
            </w:r>
            <w:r w:rsidRPr="004A440C">
              <w:t xml:space="preserve"> </w:t>
            </w:r>
            <w:r w:rsidRPr="004A440C">
              <w:rPr>
                <w:color w:val="000000"/>
                <w:sz w:val="18"/>
                <w:szCs w:val="18"/>
              </w:rPr>
              <w:t xml:space="preserve"> 0.48</w:t>
            </w:r>
          </w:p>
        </w:tc>
      </w:tr>
      <w:tr w:rsidR="004A440C" w14:paraId="1726BAF8" w14:textId="77777777" w:rsidTr="00611538">
        <w:tc>
          <w:tcPr>
            <w:tcW w:w="169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4E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666CE" w14:textId="77777777" w:rsidR="004A440C" w:rsidRDefault="004A440C" w:rsidP="009E0175">
            <w:pPr>
              <w:jc w:val="center"/>
            </w:pPr>
            <w:r>
              <w:rPr>
                <w:b/>
                <w:bCs/>
                <w:color w:val="1A6B1A"/>
              </w:rPr>
              <w:lastRenderedPageBreak/>
              <w:t>Surfactant Requirement</w:t>
            </w:r>
          </w:p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2C207" w14:textId="77777777" w:rsidR="004A440C" w:rsidRDefault="004A440C" w:rsidP="009E0175">
            <w:r>
              <w:rPr>
                <w:color w:val="000000"/>
                <w:sz w:val="18"/>
                <w:szCs w:val="18"/>
              </w:rPr>
              <w:t>GA &lt;32 wks</w:t>
            </w:r>
          </w:p>
        </w:tc>
        <w:tc>
          <w:tcPr>
            <w:tcW w:w="17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14:paraId="2C5A748A" w14:textId="77777777" w:rsidR="004A440C" w:rsidRDefault="004A440C" w:rsidP="009E01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LUS score: ≥7</w:t>
            </w:r>
          </w:p>
        </w:tc>
        <w:tc>
          <w:tcPr>
            <w:tcW w:w="15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59E7D" w14:textId="347D9161" w:rsidR="004A440C" w:rsidRPr="004A440C" w:rsidRDefault="004A440C" w:rsidP="009E0175">
            <w:pPr>
              <w:jc w:val="center"/>
            </w:pPr>
            <w:r w:rsidRPr="004A440C">
              <w:rPr>
                <w:color w:val="000000"/>
                <w:sz w:val="18"/>
                <w:szCs w:val="18"/>
              </w:rPr>
              <w:t xml:space="preserve">0.815 </w:t>
            </w:r>
            <w:r w:rsidRPr="004A440C">
              <w:rPr>
                <w:color w:val="000000"/>
                <w:sz w:val="18"/>
                <w:szCs w:val="18"/>
              </w:rPr>
              <w:br/>
              <w:t>(0.696–0.934)</w:t>
            </w:r>
          </w:p>
        </w:tc>
        <w:tc>
          <w:tcPr>
            <w:tcW w:w="36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DD869" w14:textId="77777777" w:rsidR="004A440C" w:rsidRPr="004A440C" w:rsidRDefault="004A440C" w:rsidP="006115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A440C">
              <w:rPr>
                <w:color w:val="000000"/>
                <w:sz w:val="18"/>
                <w:szCs w:val="18"/>
              </w:rPr>
              <w:t xml:space="preserve">Sensitivity 63.6%, Specificity 95.2%, </w:t>
            </w:r>
            <w:r w:rsidRPr="004A440C">
              <w:rPr>
                <w:color w:val="000000"/>
                <w:sz w:val="18"/>
                <w:szCs w:val="18"/>
              </w:rPr>
              <w:br/>
              <w:t>PPV 87.5%, NPV 83.3%</w:t>
            </w:r>
          </w:p>
          <w:p w14:paraId="4F33F40F" w14:textId="77777777" w:rsidR="004A440C" w:rsidRPr="004A440C" w:rsidRDefault="004A440C" w:rsidP="00611538">
            <w:pPr>
              <w:spacing w:line="276" w:lineRule="auto"/>
              <w:jc w:val="center"/>
            </w:pPr>
            <w:r w:rsidRPr="004A440C">
              <w:rPr>
                <w:color w:val="000000"/>
                <w:sz w:val="18"/>
                <w:szCs w:val="18"/>
              </w:rPr>
              <w:t>LR+ 13.36 / LR−</w:t>
            </w:r>
            <w:r w:rsidRPr="004A440C">
              <w:t xml:space="preserve"> </w:t>
            </w:r>
            <w:r w:rsidRPr="004A440C">
              <w:rPr>
                <w:color w:val="000000"/>
                <w:sz w:val="18"/>
                <w:szCs w:val="18"/>
              </w:rPr>
              <w:t xml:space="preserve"> 0.38</w:t>
            </w:r>
          </w:p>
        </w:tc>
      </w:tr>
      <w:tr w:rsidR="004A440C" w14:paraId="3E9CC993" w14:textId="77777777" w:rsidTr="00611538">
        <w:tc>
          <w:tcPr>
            <w:tcW w:w="169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3DF7590" w14:textId="77777777" w:rsidR="004A440C" w:rsidRDefault="004A440C" w:rsidP="009E0175"/>
        </w:tc>
        <w:tc>
          <w:tcPr>
            <w:tcW w:w="14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DFB5D" w14:textId="77777777" w:rsidR="004A440C" w:rsidRDefault="004A440C" w:rsidP="009E0175">
            <w:r>
              <w:rPr>
                <w:color w:val="000000"/>
                <w:sz w:val="18"/>
                <w:szCs w:val="18"/>
              </w:rPr>
              <w:t>Respiratory support</w:t>
            </w:r>
          </w:p>
        </w:tc>
        <w:tc>
          <w:tcPr>
            <w:tcW w:w="17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vAlign w:val="center"/>
          </w:tcPr>
          <w:p w14:paraId="239107C3" w14:textId="77777777" w:rsidR="004A440C" w:rsidRDefault="004A440C" w:rsidP="009E01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LUS score: ≥8</w:t>
            </w:r>
          </w:p>
        </w:tc>
        <w:tc>
          <w:tcPr>
            <w:tcW w:w="15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389C0" w14:textId="503EFD45" w:rsidR="004A440C" w:rsidRPr="004A440C" w:rsidRDefault="004A440C" w:rsidP="009E0175">
            <w:pPr>
              <w:jc w:val="center"/>
            </w:pPr>
            <w:r w:rsidRPr="004A440C">
              <w:rPr>
                <w:color w:val="000000"/>
                <w:sz w:val="18"/>
                <w:szCs w:val="18"/>
              </w:rPr>
              <w:t xml:space="preserve">0.830 </w:t>
            </w:r>
            <w:r w:rsidRPr="004A440C">
              <w:rPr>
                <w:color w:val="000000"/>
                <w:sz w:val="18"/>
                <w:szCs w:val="18"/>
              </w:rPr>
              <w:br/>
              <w:t>(0.726–0.919)</w:t>
            </w:r>
          </w:p>
        </w:tc>
        <w:tc>
          <w:tcPr>
            <w:tcW w:w="36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85048" w14:textId="77777777" w:rsidR="004A440C" w:rsidRPr="004A440C" w:rsidRDefault="004A440C" w:rsidP="00611538">
            <w:pPr>
              <w:spacing w:line="276" w:lineRule="auto"/>
              <w:jc w:val="center"/>
            </w:pPr>
            <w:r w:rsidRPr="004A440C">
              <w:rPr>
                <w:color w:val="000000"/>
                <w:sz w:val="18"/>
                <w:szCs w:val="18"/>
              </w:rPr>
              <w:t>Sensitivity 66.7%, Specificity 95.1%,</w:t>
            </w:r>
            <w:r w:rsidRPr="004A440C">
              <w:rPr>
                <w:color w:val="000000"/>
                <w:sz w:val="18"/>
                <w:szCs w:val="18"/>
              </w:rPr>
              <w:br/>
              <w:t>PPV 82.8%, NPV 89.1%</w:t>
            </w:r>
            <w:r w:rsidRPr="004A440C">
              <w:rPr>
                <w:color w:val="000000"/>
                <w:sz w:val="18"/>
                <w:szCs w:val="18"/>
              </w:rPr>
              <w:br/>
              <w:t>LR+ 13.73 / LR−</w:t>
            </w:r>
            <w:r w:rsidRPr="004A440C">
              <w:t xml:space="preserve"> </w:t>
            </w:r>
            <w:r w:rsidRPr="004A440C">
              <w:rPr>
                <w:color w:val="000000"/>
                <w:sz w:val="18"/>
                <w:szCs w:val="18"/>
              </w:rPr>
              <w:t xml:space="preserve"> 0.35</w:t>
            </w:r>
          </w:p>
        </w:tc>
      </w:tr>
    </w:tbl>
    <w:p w14:paraId="3FCCB19D" w14:textId="77777777" w:rsidR="004A440C" w:rsidRDefault="004A440C">
      <w:pPr>
        <w:spacing w:before="120" w:after="120"/>
        <w:rPr>
          <w:kern w:val="2"/>
          <w14:ligatures w14:val="standardContextual"/>
        </w:rPr>
      </w:pPr>
    </w:p>
    <w:p w14:paraId="06CE3C35" w14:textId="77777777" w:rsidR="004A440C" w:rsidRDefault="004A440C" w:rsidP="004A440C">
      <w:pPr>
        <w:spacing w:before="120" w:after="120"/>
        <w:rPr>
          <w:b/>
          <w:bCs/>
        </w:rPr>
      </w:pPr>
    </w:p>
    <w:p w14:paraId="2E631106" w14:textId="7850CAC1" w:rsidR="004A440C" w:rsidRPr="00134E1A" w:rsidRDefault="00134E1A" w:rsidP="00134E1A">
      <w:pPr>
        <w:rPr>
          <w:b/>
          <w:bCs/>
        </w:rPr>
      </w:pPr>
      <w:r>
        <w:rPr>
          <w:b/>
          <w:bCs/>
        </w:rPr>
        <w:t xml:space="preserve">Supplementary </w:t>
      </w:r>
      <w:r w:rsidR="004A440C" w:rsidRPr="004A440C">
        <w:rPr>
          <w:b/>
          <w:bCs/>
        </w:rPr>
        <w:t>Figure S</w:t>
      </w:r>
      <w:r>
        <w:rPr>
          <w:b/>
          <w:bCs/>
        </w:rPr>
        <w:t>3</w:t>
      </w:r>
      <w:r w:rsidR="004A440C" w:rsidRPr="004A440C">
        <w:rPr>
          <w:b/>
          <w:bCs/>
        </w:rPr>
        <w:t xml:space="preserve">: </w:t>
      </w:r>
      <w:r w:rsidR="004A440C" w:rsidRPr="004A440C">
        <w:t>ROC Curves for LUS Day 1 Score across sub-groups and outcomes</w:t>
      </w:r>
      <w:r w:rsidR="004A440C" w:rsidRPr="004A440C">
        <w:rPr>
          <w:b/>
          <w:bCs/>
        </w:rPr>
        <w:t xml:space="preserve"> </w:t>
      </w:r>
      <w:r w:rsidR="004A440C" w:rsidRPr="004A440C">
        <w:rPr>
          <w:b/>
          <w:bCs/>
        </w:rPr>
        <w:br/>
      </w:r>
      <w:r w:rsidR="004A440C" w:rsidRPr="004A440C">
        <w:t>(top row: IMV; bottom row: Surfactant)</w:t>
      </w:r>
    </w:p>
    <w:p w14:paraId="75D2B441" w14:textId="68A03DCC" w:rsidR="004A440C" w:rsidRDefault="004A440C" w:rsidP="00655C14">
      <w:pPr>
        <w:spacing w:before="200" w:after="40"/>
      </w:pPr>
      <w:r w:rsidRPr="004A440C">
        <w:rPr>
          <w:noProof/>
        </w:rPr>
        <w:drawing>
          <wp:inline distT="0" distB="0" distL="0" distR="0" wp14:anchorId="666FBBAF" wp14:editId="67801D16">
            <wp:extent cx="4921503" cy="4629388"/>
            <wp:effectExtent l="0" t="0" r="0" b="0"/>
            <wp:docPr id="800017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177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503" cy="462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40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6677"/>
    <w:multiLevelType w:val="hybridMultilevel"/>
    <w:tmpl w:val="519C3D32"/>
    <w:lvl w:ilvl="0" w:tplc="213E9BC6">
      <w:start w:val="1"/>
      <w:numFmt w:val="bullet"/>
      <w:lvlText w:val="●"/>
      <w:lvlJc w:val="left"/>
      <w:pPr>
        <w:ind w:left="720" w:hanging="360"/>
      </w:pPr>
    </w:lvl>
    <w:lvl w:ilvl="1" w:tplc="A7E22E4E">
      <w:start w:val="1"/>
      <w:numFmt w:val="bullet"/>
      <w:lvlText w:val="○"/>
      <w:lvlJc w:val="left"/>
      <w:pPr>
        <w:ind w:left="1440" w:hanging="360"/>
      </w:pPr>
    </w:lvl>
    <w:lvl w:ilvl="2" w:tplc="D98ED7AC">
      <w:start w:val="1"/>
      <w:numFmt w:val="bullet"/>
      <w:lvlText w:val="■"/>
      <w:lvlJc w:val="left"/>
      <w:pPr>
        <w:ind w:left="2160" w:hanging="360"/>
      </w:pPr>
    </w:lvl>
    <w:lvl w:ilvl="3" w:tplc="7090E18E">
      <w:start w:val="1"/>
      <w:numFmt w:val="bullet"/>
      <w:lvlText w:val="●"/>
      <w:lvlJc w:val="left"/>
      <w:pPr>
        <w:ind w:left="2880" w:hanging="360"/>
      </w:pPr>
    </w:lvl>
    <w:lvl w:ilvl="4" w:tplc="A88EFCAC">
      <w:start w:val="1"/>
      <w:numFmt w:val="bullet"/>
      <w:lvlText w:val="○"/>
      <w:lvlJc w:val="left"/>
      <w:pPr>
        <w:ind w:left="3600" w:hanging="360"/>
      </w:pPr>
    </w:lvl>
    <w:lvl w:ilvl="5" w:tplc="198C8E50">
      <w:start w:val="1"/>
      <w:numFmt w:val="bullet"/>
      <w:lvlText w:val="■"/>
      <w:lvlJc w:val="left"/>
      <w:pPr>
        <w:ind w:left="4320" w:hanging="360"/>
      </w:pPr>
    </w:lvl>
    <w:lvl w:ilvl="6" w:tplc="2A6AA5FA">
      <w:start w:val="1"/>
      <w:numFmt w:val="bullet"/>
      <w:lvlText w:val="●"/>
      <w:lvlJc w:val="left"/>
      <w:pPr>
        <w:ind w:left="5040" w:hanging="360"/>
      </w:pPr>
    </w:lvl>
    <w:lvl w:ilvl="7" w:tplc="05B2CEBC">
      <w:start w:val="1"/>
      <w:numFmt w:val="bullet"/>
      <w:lvlText w:val="●"/>
      <w:lvlJc w:val="left"/>
      <w:pPr>
        <w:ind w:left="5760" w:hanging="360"/>
      </w:pPr>
    </w:lvl>
    <w:lvl w:ilvl="8" w:tplc="83FCF294">
      <w:start w:val="1"/>
      <w:numFmt w:val="bullet"/>
      <w:lvlText w:val="●"/>
      <w:lvlJc w:val="left"/>
      <w:pPr>
        <w:ind w:left="6480" w:hanging="360"/>
      </w:pPr>
    </w:lvl>
  </w:abstractNum>
  <w:num w:numId="1" w16cid:durableId="1298997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51"/>
    <w:rsid w:val="00134E1A"/>
    <w:rsid w:val="002D2B08"/>
    <w:rsid w:val="004A440C"/>
    <w:rsid w:val="00611538"/>
    <w:rsid w:val="00655C14"/>
    <w:rsid w:val="00681E08"/>
    <w:rsid w:val="00870051"/>
    <w:rsid w:val="00D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F983"/>
  <w15:docId w15:val="{1B2DDBA0-DF3E-49A3-9DE2-F89D978B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Lakshmi Parvathi Bandlamudi</cp:lastModifiedBy>
  <cp:revision>5</cp:revision>
  <dcterms:created xsi:type="dcterms:W3CDTF">2026-05-11T09:30:00Z</dcterms:created>
  <dcterms:modified xsi:type="dcterms:W3CDTF">2026-05-14T10:34:00Z</dcterms:modified>
</cp:coreProperties>
</file>