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D8A57">
      <w:r>
        <w:rPr>
          <w:rFonts w:hint="eastAsia" w:ascii="Times New Roman" w:hAnsi="Times New Roman" w:eastAsia="宋体" w:cs="Times New Roman"/>
          <w:b/>
          <w:bCs/>
          <w:i w:val="0"/>
          <w:iCs w:val="0"/>
          <w:color w:val="000000"/>
          <w:kern w:val="0"/>
          <w:sz w:val="24"/>
          <w:szCs w:val="24"/>
          <w:u w:val="none"/>
          <w:lang w:val="en-US" w:eastAsia="en-US" w:bidi="ar"/>
        </w:rPr>
        <w:t>Supplementary Table 1. The brief introductions of Douyin</w:t>
      </w:r>
      <w:r>
        <w:rPr>
          <w:rFonts w:hint="eastAsia" w:ascii="Times New Roman" w:hAnsi="Times New Roman" w:eastAsia="宋体" w:cs="Times New Roman"/>
          <w:b/>
          <w:bCs/>
          <w:i w:val="0"/>
          <w:iCs w:val="0"/>
          <w:color w:val="000000"/>
          <w:kern w:val="0"/>
          <w:sz w:val="24"/>
          <w:szCs w:val="24"/>
          <w:u w:val="none"/>
          <w:lang w:val="en-US" w:eastAsia="zh-CN" w:bidi="ar"/>
        </w:rPr>
        <w:t xml:space="preserve"> and Red Note </w:t>
      </w:r>
      <w:r>
        <w:rPr>
          <w:rFonts w:hint="eastAsia" w:ascii="Times New Roman" w:hAnsi="Times New Roman" w:cs="Times New Roman"/>
          <w:sz w:val="20"/>
          <w:szCs w:val="20"/>
          <w:lang w:val="en-US" w:eastAsia="zh-CN"/>
        </w:rPr>
        <w:t xml:space="preserve"> </w:t>
      </w:r>
    </w:p>
    <w:tbl>
      <w:tblPr>
        <w:tblStyle w:val="3"/>
        <w:tblpPr w:leftFromText="180" w:rightFromText="180" w:vertAnchor="page" w:horzAnchor="page" w:tblpX="864" w:tblpY="134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67"/>
        <w:gridCol w:w="8362"/>
      </w:tblGrid>
      <w:tr w14:paraId="61008E40">
        <w:tc>
          <w:tcPr>
            <w:tcW w:w="2167" w:type="dxa"/>
            <w:tcBorders>
              <w:top w:val="single" w:color="000000" w:sz="12" w:space="0"/>
              <w:bottom w:val="single" w:color="000000" w:sz="4" w:space="0"/>
              <w:tl2br w:val="nil"/>
            </w:tcBorders>
            <w:shd w:val="clear" w:color="auto" w:fill="FFFFFF"/>
            <w:vAlign w:val="center"/>
          </w:tcPr>
          <w:p w14:paraId="650D3D3C">
            <w:pPr>
              <w:rPr>
                <w:rFonts w:hint="default" w:ascii="Times New Roman Bold" w:hAnsi="Times New Roman Bold" w:cs="Times New Roman Bold"/>
                <w:b/>
                <w:bCs w:val="0"/>
                <w:color w:val="000000"/>
                <w:sz w:val="20"/>
                <w:szCs w:val="20"/>
              </w:rPr>
            </w:pPr>
            <w:r>
              <w:rPr>
                <w:rFonts w:hint="default" w:ascii="Times New Roman Bold" w:hAnsi="Times New Roman Bold" w:cs="Times New Roman Bold"/>
                <w:b/>
                <w:bCs w:val="0"/>
                <w:color w:val="000000"/>
                <w:sz w:val="20"/>
                <w:szCs w:val="20"/>
              </w:rPr>
              <w:t>Online Video Platform</w:t>
            </w:r>
          </w:p>
        </w:tc>
        <w:tc>
          <w:tcPr>
            <w:tcW w:w="8362" w:type="dxa"/>
            <w:tcBorders>
              <w:top w:val="single" w:color="000000" w:sz="12" w:space="0"/>
              <w:bottom w:val="single" w:color="000000" w:sz="4" w:space="0"/>
            </w:tcBorders>
            <w:shd w:val="clear" w:color="auto" w:fill="FFFFFF"/>
            <w:vAlign w:val="center"/>
          </w:tcPr>
          <w:p w14:paraId="27DAA2B1">
            <w:pPr>
              <w:rPr>
                <w:rFonts w:hint="default" w:ascii="Times New Roman Bold" w:hAnsi="Times New Roman Bold" w:cs="Times New Roman Bold"/>
                <w:b/>
                <w:bCs w:val="0"/>
                <w:color w:val="000000"/>
                <w:sz w:val="20"/>
                <w:szCs w:val="20"/>
              </w:rPr>
            </w:pPr>
            <w:r>
              <w:rPr>
                <w:rFonts w:hint="default" w:ascii="Times New Roman Bold" w:hAnsi="Times New Roman Bold" w:cs="Times New Roman Bold"/>
                <w:b/>
                <w:bCs w:val="0"/>
                <w:color w:val="000000"/>
                <w:sz w:val="20"/>
                <w:szCs w:val="20"/>
              </w:rPr>
              <w:t>Introduction</w:t>
            </w:r>
          </w:p>
        </w:tc>
      </w:tr>
      <w:tr w14:paraId="7053FCE7">
        <w:trPr>
          <w:trHeight w:val="738" w:hRule="atLeast"/>
        </w:trPr>
        <w:tc>
          <w:tcPr>
            <w:tcW w:w="2167" w:type="dxa"/>
            <w:tcBorders>
              <w:top w:val="single" w:color="000000" w:sz="4" w:space="0"/>
              <w:bottom w:val="nil"/>
              <w:right w:val="nil"/>
            </w:tcBorders>
            <w:shd w:val="clear" w:color="auto" w:fill="FFFFFF"/>
            <w:vAlign w:val="center"/>
          </w:tcPr>
          <w:p w14:paraId="191779FF">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Douyin (Chinese version of Tik-Tok)</w:t>
            </w:r>
          </w:p>
        </w:tc>
        <w:tc>
          <w:tcPr>
            <w:tcW w:w="8362" w:type="dxa"/>
            <w:tcBorders>
              <w:top w:val="single" w:color="000000" w:sz="4" w:space="0"/>
              <w:left w:val="nil"/>
              <w:bottom w:val="nil"/>
            </w:tcBorders>
            <w:shd w:val="clear" w:color="auto" w:fill="FFFFFF"/>
            <w:vAlign w:val="center"/>
          </w:tcPr>
          <w:p w14:paraId="223D70DA">
            <w:pPr>
              <w:rPr>
                <w:rFonts w:ascii="Times New Roman" w:hAnsi="Times New Roman" w:cs="Times New Roman"/>
                <w:b w:val="0"/>
                <w:color w:val="000000"/>
                <w:sz w:val="20"/>
                <w:szCs w:val="20"/>
              </w:rPr>
            </w:pPr>
            <w:r>
              <w:rPr>
                <w:rFonts w:ascii="Times New Roman" w:hAnsi="Times New Roman" w:cs="Times New Roman"/>
                <w:b w:val="0"/>
                <w:color w:val="000000"/>
                <w:sz w:val="20"/>
                <w:szCs w:val="20"/>
                <w:lang w:val="en-US" w:eastAsia="zh-CN"/>
              </w:rPr>
              <w:t>Douyin</w:t>
            </w:r>
            <w:r>
              <w:rPr>
                <w:rFonts w:hint="default" w:ascii="Times New Roman" w:hAnsi="Times New Roman" w:cs="Times New Roman"/>
                <w:b w:val="0"/>
                <w:color w:val="000000"/>
                <w:sz w:val="20"/>
                <w:szCs w:val="20"/>
                <w:lang w:val="en-US" w:eastAsia="zh-CN"/>
              </w:rPr>
              <w:t>, launched by ByteDance in 2016, is the Chinese counterpart to TikTok and a leading short-video platform in the country. Designed for all-age audiences, it enables users to create and share snippets of daily life via mobile devices, and its algorithm-driven model makes it a powerful channel for the widespread dissemination of public health information.</w:t>
            </w:r>
          </w:p>
        </w:tc>
      </w:tr>
      <w:tr w14:paraId="4700506E">
        <w:trPr>
          <w:trHeight w:val="1072" w:hRule="atLeast"/>
        </w:trPr>
        <w:tc>
          <w:tcPr>
            <w:tcW w:w="2167" w:type="dxa"/>
            <w:tcBorders>
              <w:top w:val="nil"/>
              <w:bottom w:val="nil"/>
              <w:right w:val="nil"/>
            </w:tcBorders>
            <w:shd w:val="clear" w:color="auto" w:fill="FFFFFF"/>
            <w:vAlign w:val="center"/>
          </w:tcPr>
          <w:p w14:paraId="7C94B1CA">
            <w:pPr>
              <w:rPr>
                <w:rFonts w:ascii="Times New Roman" w:hAnsi="Times New Roman" w:cs="Times New Roman"/>
                <w:b w:val="0"/>
                <w:color w:val="000000"/>
                <w:sz w:val="20"/>
                <w:szCs w:val="20"/>
              </w:rPr>
            </w:pPr>
            <w:r>
              <w:rPr>
                <w:rFonts w:hint="eastAsia" w:ascii="Times New Roman Regular" w:hAnsi="Times New Roman Regular" w:cs="Times New Roman Regular"/>
                <w:sz w:val="20"/>
                <w:szCs w:val="20"/>
                <w:lang w:val="en-US" w:eastAsia="zh-CN"/>
              </w:rPr>
              <w:t>Red Note</w:t>
            </w:r>
          </w:p>
        </w:tc>
        <w:tc>
          <w:tcPr>
            <w:tcW w:w="8362" w:type="dxa"/>
            <w:tcBorders>
              <w:top w:val="nil"/>
              <w:left w:val="nil"/>
              <w:bottom w:val="nil"/>
            </w:tcBorders>
            <w:shd w:val="clear" w:color="auto" w:fill="FFFFFF"/>
            <w:vAlign w:val="center"/>
          </w:tcPr>
          <w:p w14:paraId="320F8E66">
            <w:pPr>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Red Note (Xiaohongshu), established in 2013, is a prominent lifestyle sharing and social media platform in China. It combines product reviews, travelogues, and personal experience notes, and has become an important venue for detailed health and disease management sharing, particularly among younger users and patient communities.</w:t>
            </w:r>
          </w:p>
        </w:tc>
      </w:tr>
    </w:tbl>
    <w:p w14:paraId="2F1BF021">
      <w:pPr>
        <w:rPr>
          <w:rFonts w:ascii="Times New Roman" w:hAnsi="Times New Roman" w:cs="Times New Roman"/>
          <w:b/>
          <w:bCs/>
          <w:sz w:val="24"/>
          <w:szCs w:val="24"/>
        </w:rPr>
      </w:pPr>
    </w:p>
    <w:p w14:paraId="3E5D6391">
      <w:pPr>
        <w:rPr>
          <w:rFonts w:hint="eastAsia" w:ascii="Times New Roman" w:hAnsi="Times New Roman" w:cs="Times New Roman"/>
          <w:b/>
          <w:bCs/>
          <w:sz w:val="24"/>
          <w:szCs w:val="24"/>
          <w:lang w:val="en-US" w:eastAsia="zh-CN"/>
        </w:rPr>
      </w:pPr>
      <w:r>
        <w:rPr>
          <w:rFonts w:ascii="Times New Roman" w:hAnsi="Times New Roman" w:cs="Times New Roman"/>
          <w:b/>
          <w:bCs/>
          <w:sz w:val="24"/>
          <w:szCs w:val="24"/>
        </w:rPr>
        <w:t xml:space="preserve">Supplementary </w:t>
      </w:r>
      <w:r>
        <w:rPr>
          <w:rFonts w:hint="eastAsia" w:ascii="Times New Roman" w:hAnsi="Times New Roman" w:cs="Times New Roman"/>
          <w:b/>
          <w:bCs/>
          <w:sz w:val="24"/>
          <w:szCs w:val="24"/>
          <w:lang w:val="en-US" w:eastAsia="zh-CN"/>
        </w:rPr>
        <w:t>T</w:t>
      </w:r>
      <w:r>
        <w:rPr>
          <w:rFonts w:ascii="Times New Roman" w:hAnsi="Times New Roman" w:cs="Times New Roman"/>
          <w:b/>
          <w:bCs/>
          <w:sz w:val="24"/>
          <w:szCs w:val="24"/>
        </w:rPr>
        <w:t>able</w:t>
      </w:r>
      <w:r>
        <w:rPr>
          <w:rFonts w:hint="eastAsia"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2</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 xml:space="preserve">Detailed classification and definition of </w:t>
      </w:r>
      <w:r>
        <w:rPr>
          <w:rFonts w:hint="eastAsia" w:ascii="Times New Roman" w:hAnsi="Times New Roman" w:cs="Times New Roman"/>
          <w:b/>
          <w:bCs/>
          <w:sz w:val="24"/>
          <w:szCs w:val="24"/>
          <w:lang w:val="en-US" w:eastAsia="zh-CN"/>
        </w:rPr>
        <w:t>uploader</w:t>
      </w:r>
      <w:bookmarkStart w:id="2" w:name="_GoBack"/>
      <w:bookmarkEnd w:id="2"/>
    </w:p>
    <w:p w14:paraId="0D60EFE3">
      <w:pPr>
        <w:rPr>
          <w:rFonts w:hint="eastAsia"/>
          <w:highlight w:val="yellow"/>
          <w:lang w:val="en-US" w:eastAsia="zh-CN"/>
        </w:rPr>
      </w:pPr>
    </w:p>
    <w:tbl>
      <w:tblPr>
        <w:tblStyle w:val="3"/>
        <w:tblW w:w="106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2"/>
        <w:gridCol w:w="7171"/>
      </w:tblGrid>
      <w:tr w14:paraId="68A75FDC">
        <w:tc>
          <w:tcPr>
            <w:tcW w:w="3522" w:type="dxa"/>
          </w:tcPr>
          <w:p w14:paraId="7D28B2C9">
            <w:pPr>
              <w:rPr>
                <w:rFonts w:hint="eastAsia"/>
                <w:highlight w:val="yellow"/>
                <w:vertAlign w:val="baseline"/>
                <w:lang w:val="en-US" w:eastAsia="zh-CN"/>
              </w:rPr>
            </w:pPr>
            <w:r>
              <w:rPr>
                <w:rFonts w:ascii="Times New Roman" w:hAnsi="Times New Roman" w:cs="Times New Roman"/>
                <w:b/>
                <w:bCs/>
                <w:sz w:val="20"/>
                <w:szCs w:val="20"/>
              </w:rPr>
              <w:t>Further Classification</w:t>
            </w:r>
          </w:p>
        </w:tc>
        <w:tc>
          <w:tcPr>
            <w:tcW w:w="7171" w:type="dxa"/>
          </w:tcPr>
          <w:p w14:paraId="17534797">
            <w:pPr>
              <w:rPr>
                <w:rFonts w:hint="eastAsia"/>
                <w:highlight w:val="yellow"/>
                <w:vertAlign w:val="baseline"/>
                <w:lang w:val="en-US" w:eastAsia="zh-CN"/>
              </w:rPr>
            </w:pPr>
            <w:r>
              <w:rPr>
                <w:rFonts w:hint="default" w:ascii="Times New Roman Bold" w:hAnsi="Times New Roman Bold" w:cs="Times New Roman Bold"/>
                <w:b w:val="0"/>
                <w:bCs w:val="0"/>
                <w:color w:val="000000"/>
                <w:sz w:val="20"/>
                <w:szCs w:val="20"/>
              </w:rPr>
              <w:t>Introduction</w:t>
            </w:r>
          </w:p>
        </w:tc>
      </w:tr>
      <w:tr w14:paraId="47DB2A0E">
        <w:tc>
          <w:tcPr>
            <w:tcW w:w="10693" w:type="dxa"/>
            <w:gridSpan w:val="2"/>
          </w:tcPr>
          <w:p w14:paraId="78CBE58B">
            <w:pPr>
              <w:rPr>
                <w:rFonts w:hint="default" w:ascii="Times New Roman Regular" w:hAnsi="Times New Roman Regular" w:cs="Times New Roman Regular"/>
                <w:sz w:val="20"/>
                <w:szCs w:val="20"/>
                <w:highlight w:val="none"/>
                <w:vertAlign w:val="baseline"/>
                <w:lang w:val="en-US" w:eastAsia="zh-CN"/>
              </w:rPr>
            </w:pPr>
            <w:r>
              <w:rPr>
                <w:rFonts w:hint="default" w:ascii="Times New Roman Bold" w:hAnsi="Times New Roman Bold" w:cs="Times New Roman Bold"/>
                <w:b/>
                <w:bCs/>
                <w:sz w:val="20"/>
                <w:szCs w:val="20"/>
                <w:highlight w:val="none"/>
                <w:vertAlign w:val="baseline"/>
                <w:lang w:val="en-US" w:eastAsia="zh-CN"/>
              </w:rPr>
              <w:t xml:space="preserve">Medically </w:t>
            </w:r>
            <w:r>
              <w:rPr>
                <w:rFonts w:hint="eastAsia" w:ascii="Times New Roman Bold" w:hAnsi="Times New Roman Bold" w:cs="Times New Roman Bold"/>
                <w:b/>
                <w:bCs/>
                <w:sz w:val="20"/>
                <w:szCs w:val="20"/>
                <w:highlight w:val="none"/>
                <w:vertAlign w:val="baseline"/>
                <w:lang w:val="en-US" w:eastAsia="zh-CN"/>
              </w:rPr>
              <w:t>A</w:t>
            </w:r>
            <w:r>
              <w:rPr>
                <w:rFonts w:hint="default" w:ascii="Times New Roman Bold" w:hAnsi="Times New Roman Bold" w:cs="Times New Roman Bold"/>
                <w:b/>
                <w:bCs/>
                <w:sz w:val="20"/>
                <w:szCs w:val="20"/>
                <w:highlight w:val="none"/>
                <w:vertAlign w:val="baseline"/>
                <w:lang w:val="en-US" w:eastAsia="zh-CN"/>
              </w:rPr>
              <w:t>ffiliated</w:t>
            </w:r>
            <w:r>
              <w:rPr>
                <w:rFonts w:hint="eastAsia" w:ascii="Times New Roman Bold" w:hAnsi="Times New Roman Bold" w:cs="Times New Roman Bold"/>
                <w:b/>
                <w:bCs/>
                <w:sz w:val="20"/>
                <w:szCs w:val="20"/>
                <w:highlight w:val="none"/>
                <w:vertAlign w:val="baseline"/>
                <w:lang w:val="en-US" w:eastAsia="zh-CN"/>
              </w:rPr>
              <w:t xml:space="preserve"> Accounts </w:t>
            </w:r>
          </w:p>
        </w:tc>
      </w:tr>
      <w:tr w14:paraId="20174001">
        <w:tc>
          <w:tcPr>
            <w:tcW w:w="3522" w:type="dxa"/>
            <w:vAlign w:val="top"/>
          </w:tcPr>
          <w:p w14:paraId="2F4E0412">
            <w:pPr>
              <w:jc w:val="both"/>
              <w:rPr>
                <w:rFonts w:hint="default"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P</w:t>
            </w:r>
            <w:r>
              <w:rPr>
                <w:rFonts w:hint="default" w:ascii="Times New Roman Regular" w:hAnsi="Times New Roman Regular" w:cs="Times New Roman Regular"/>
                <w:sz w:val="20"/>
                <w:szCs w:val="20"/>
                <w:highlight w:val="none"/>
                <w:vertAlign w:val="baseline"/>
                <w:lang w:val="en-US" w:eastAsia="zh-CN"/>
              </w:rPr>
              <w:t>hysicians</w:t>
            </w:r>
          </w:p>
        </w:tc>
        <w:tc>
          <w:tcPr>
            <w:tcW w:w="7171" w:type="dxa"/>
          </w:tcPr>
          <w:p w14:paraId="7241F6AA">
            <w:pPr>
              <w:rPr>
                <w:rFonts w:hint="default" w:ascii="Times New Roman Regular" w:hAnsi="Times New Roman Regular" w:cs="Times New Roman Regular"/>
                <w:sz w:val="20"/>
                <w:szCs w:val="20"/>
                <w:highlight w:val="none"/>
                <w:vertAlign w:val="baseline"/>
                <w:lang w:val="en-US" w:eastAsia="zh-CN"/>
              </w:rPr>
            </w:pPr>
            <w:r>
              <w:rPr>
                <w:rFonts w:hint="default" w:ascii="Times New Roman Regular" w:hAnsi="Times New Roman Regular" w:cs="Times New Roman Regular"/>
                <w:sz w:val="20"/>
                <w:szCs w:val="20"/>
                <w:highlight w:val="none"/>
                <w:vertAlign w:val="baseline"/>
                <w:lang w:val="en-US" w:eastAsia="zh-CN"/>
              </w:rPr>
              <w:t>This category comprises fully licensed and practicing medical doctors. It includes specialists from neurology, ophthalmology, internal medicine, and other relevant departments who create content in a personal capacity. They are considered a primary source of authoritative clinical information.</w:t>
            </w:r>
          </w:p>
        </w:tc>
      </w:tr>
      <w:tr w14:paraId="2C3591B4">
        <w:tc>
          <w:tcPr>
            <w:tcW w:w="3522" w:type="dxa"/>
            <w:vAlign w:val="top"/>
          </w:tcPr>
          <w:p w14:paraId="16754619">
            <w:pPr>
              <w:jc w:val="both"/>
              <w:rPr>
                <w:rFonts w:hint="default" w:ascii="Times New Roman Regular" w:hAnsi="Times New Roman Regular" w:cs="Times New Roman Regular"/>
                <w:sz w:val="20"/>
                <w:szCs w:val="20"/>
                <w:highlight w:val="none"/>
                <w:vertAlign w:val="baseline"/>
                <w:lang w:val="en-US" w:eastAsia="zh-CN"/>
              </w:rPr>
            </w:pPr>
            <w:r>
              <w:rPr>
                <w:rFonts w:hint="default" w:ascii="Times New Roman Regular" w:hAnsi="Times New Roman Regular" w:cs="Times New Roman Regular"/>
                <w:sz w:val="20"/>
                <w:szCs w:val="20"/>
                <w:highlight w:val="none"/>
                <w:vertAlign w:val="baseline"/>
                <w:lang w:val="en-US" w:eastAsia="zh-CN"/>
              </w:rPr>
              <w:t>Medical Students</w:t>
            </w:r>
          </w:p>
        </w:tc>
        <w:tc>
          <w:tcPr>
            <w:tcW w:w="7171" w:type="dxa"/>
          </w:tcPr>
          <w:p w14:paraId="51F17911">
            <w:pPr>
              <w:rPr>
                <w:rFonts w:hint="default" w:ascii="Times New Roman Regular" w:hAnsi="Times New Roman Regular" w:cs="Times New Roman Regular"/>
                <w:sz w:val="20"/>
                <w:szCs w:val="20"/>
                <w:highlight w:val="none"/>
                <w:vertAlign w:val="baseline"/>
                <w:lang w:val="en-US" w:eastAsia="zh-CN"/>
              </w:rPr>
            </w:pPr>
            <w:r>
              <w:rPr>
                <w:rFonts w:hint="default" w:ascii="Times New Roman Regular" w:hAnsi="Times New Roman Regular" w:cs="Times New Roman Regular"/>
                <w:sz w:val="20"/>
                <w:szCs w:val="20"/>
                <w:highlight w:val="none"/>
                <w:vertAlign w:val="baseline"/>
                <w:lang w:val="en-US" w:eastAsia="zh-CN"/>
              </w:rPr>
              <w:t>Individuals enrolled in medical education programs (e.g., undergraduate or postgraduate training), including those with provisional licensure but not yet formally employed in clinical roles.</w:t>
            </w:r>
          </w:p>
        </w:tc>
      </w:tr>
      <w:tr w14:paraId="58625026">
        <w:tc>
          <w:tcPr>
            <w:tcW w:w="3522" w:type="dxa"/>
            <w:vAlign w:val="top"/>
          </w:tcPr>
          <w:p w14:paraId="28C9CEFD">
            <w:pPr>
              <w:jc w:val="both"/>
              <w:rPr>
                <w:rFonts w:hint="default" w:ascii="Times New Roman Regular" w:hAnsi="Times New Roman Regular" w:cs="Times New Roman Regular"/>
                <w:sz w:val="20"/>
                <w:szCs w:val="20"/>
                <w:highlight w:val="none"/>
                <w:vertAlign w:val="baseline"/>
                <w:lang w:val="en-US" w:eastAsia="zh-CN"/>
              </w:rPr>
            </w:pPr>
            <w:r>
              <w:rPr>
                <w:rFonts w:hint="default" w:ascii="Times New Roman Regular" w:hAnsi="Times New Roman Regular" w:cs="Times New Roman Regular"/>
                <w:sz w:val="20"/>
                <w:szCs w:val="20"/>
                <w:highlight w:val="none"/>
                <w:vertAlign w:val="baseline"/>
                <w:lang w:val="en-US" w:eastAsia="zh-CN"/>
              </w:rPr>
              <w:t>Hospitals &amp; Public Health Organizations</w:t>
            </w:r>
          </w:p>
        </w:tc>
        <w:tc>
          <w:tcPr>
            <w:tcW w:w="7171" w:type="dxa"/>
          </w:tcPr>
          <w:p w14:paraId="24113AC1">
            <w:pPr>
              <w:rPr>
                <w:rFonts w:hint="default" w:ascii="Times New Roman Regular" w:hAnsi="Times New Roman Regular" w:cs="Times New Roman Regular"/>
                <w:sz w:val="20"/>
                <w:szCs w:val="20"/>
                <w:highlight w:val="none"/>
                <w:vertAlign w:val="baseline"/>
                <w:lang w:val="en-US" w:eastAsia="zh-CN"/>
              </w:rPr>
            </w:pPr>
            <w:r>
              <w:rPr>
                <w:rFonts w:hint="default" w:ascii="Times New Roman Regular" w:hAnsi="Times New Roman Regular" w:cs="Times New Roman Regular"/>
                <w:sz w:val="20"/>
                <w:szCs w:val="20"/>
                <w:highlight w:val="none"/>
                <w:vertAlign w:val="baseline"/>
                <w:lang w:val="en-US" w:eastAsia="zh-CN"/>
              </w:rPr>
              <w:t>Official accounts operated by licensed medical institutions (e.g., tertiary hospitals) and public health agencies. These sources provide authoritative, evidence-based information on myasthenia gravis, including treatment guidelines and public health education.</w:t>
            </w:r>
          </w:p>
        </w:tc>
      </w:tr>
      <w:tr w14:paraId="38021AEA">
        <w:tc>
          <w:tcPr>
            <w:tcW w:w="10693" w:type="dxa"/>
            <w:gridSpan w:val="2"/>
            <w:vAlign w:val="center"/>
          </w:tcPr>
          <w:p w14:paraId="2FF09CA2">
            <w:pPr>
              <w:jc w:val="both"/>
              <w:rPr>
                <w:rFonts w:hint="default" w:ascii="Times New Roman Regular" w:hAnsi="Times New Roman Regular" w:cs="Times New Roman Regular"/>
                <w:sz w:val="20"/>
                <w:szCs w:val="20"/>
                <w:highlight w:val="none"/>
                <w:vertAlign w:val="baseline"/>
                <w:lang w:val="en-US" w:eastAsia="zh-CN"/>
              </w:rPr>
            </w:pPr>
            <w:r>
              <w:rPr>
                <w:rFonts w:hint="eastAsia" w:ascii="Times New Roman Bold" w:hAnsi="Times New Roman Bold" w:cs="Times New Roman Bold"/>
                <w:b/>
                <w:bCs/>
                <w:sz w:val="20"/>
                <w:szCs w:val="20"/>
                <w:highlight w:val="none"/>
                <w:vertAlign w:val="baseline"/>
                <w:lang w:val="en-US" w:eastAsia="zh-CN"/>
              </w:rPr>
              <w:t>Non-medically Affiliated Accounts</w:t>
            </w:r>
          </w:p>
        </w:tc>
      </w:tr>
      <w:tr w14:paraId="214F77C5">
        <w:tc>
          <w:tcPr>
            <w:tcW w:w="3522" w:type="dxa"/>
            <w:vAlign w:val="top"/>
          </w:tcPr>
          <w:p w14:paraId="459B3CC4">
            <w:pPr>
              <w:jc w:val="both"/>
              <w:rPr>
                <w:rFonts w:hint="eastAsia"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Other Public Service Organizations</w:t>
            </w:r>
          </w:p>
        </w:tc>
        <w:tc>
          <w:tcPr>
            <w:tcW w:w="7171" w:type="dxa"/>
          </w:tcPr>
          <w:p w14:paraId="739B5A38">
            <w:pPr>
              <w:rPr>
                <w:rFonts w:hint="eastAsia"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 xml:space="preserve">Official accounts managed by government or public service entities whose primary focus extends beyond healthcare (e.g., national media outlets, civil society organizations). </w:t>
            </w:r>
          </w:p>
        </w:tc>
      </w:tr>
      <w:tr w14:paraId="4048844D">
        <w:tc>
          <w:tcPr>
            <w:tcW w:w="3522" w:type="dxa"/>
            <w:vAlign w:val="top"/>
          </w:tcPr>
          <w:p w14:paraId="3457CD0D">
            <w:pPr>
              <w:jc w:val="both"/>
              <w:rPr>
                <w:rFonts w:hint="eastAsia"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Science Communicators</w:t>
            </w:r>
          </w:p>
        </w:tc>
        <w:tc>
          <w:tcPr>
            <w:tcW w:w="7171" w:type="dxa"/>
          </w:tcPr>
          <w:p w14:paraId="695E9B74">
            <w:pPr>
              <w:rPr>
                <w:rFonts w:hint="eastAsia"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 xml:space="preserve">Individuals or teams dedicated to creating health and medical content without formal clinical qualifications, such as science bloggers, educators, or media creators without formal medical credentials. </w:t>
            </w:r>
          </w:p>
        </w:tc>
      </w:tr>
      <w:tr w14:paraId="0B822B88">
        <w:trPr>
          <w:trHeight w:val="90" w:hRule="atLeast"/>
        </w:trPr>
        <w:tc>
          <w:tcPr>
            <w:tcW w:w="3522" w:type="dxa"/>
            <w:vAlign w:val="top"/>
          </w:tcPr>
          <w:p w14:paraId="2772549F">
            <w:pPr>
              <w:jc w:val="both"/>
              <w:rPr>
                <w:rFonts w:hint="eastAsia"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 xml:space="preserve">Patients </w:t>
            </w:r>
            <w:r>
              <w:rPr>
                <w:rFonts w:hint="default" w:ascii="Times New Roman Regular" w:hAnsi="Times New Roman Regular" w:cs="Times New Roman Regular"/>
                <w:sz w:val="20"/>
                <w:szCs w:val="20"/>
                <w:highlight w:val="none"/>
                <w:vertAlign w:val="baseline"/>
                <w:lang w:val="en-US" w:eastAsia="zh-CN"/>
              </w:rPr>
              <w:t>&amp;</w:t>
            </w:r>
            <w:r>
              <w:rPr>
                <w:rFonts w:hint="eastAsia" w:ascii="Times New Roman Regular" w:hAnsi="Times New Roman Regular" w:cs="Times New Roman Regular"/>
                <w:sz w:val="20"/>
                <w:szCs w:val="20"/>
                <w:highlight w:val="none"/>
                <w:vertAlign w:val="baseline"/>
                <w:lang w:val="en-US" w:eastAsia="zh-CN"/>
              </w:rPr>
              <w:t xml:space="preserve"> Their Families</w:t>
            </w:r>
          </w:p>
        </w:tc>
        <w:tc>
          <w:tcPr>
            <w:tcW w:w="7171" w:type="dxa"/>
          </w:tcPr>
          <w:p w14:paraId="5976159F">
            <w:pPr>
              <w:rPr>
                <w:rFonts w:hint="eastAsia" w:ascii="Times New Roman Regular" w:hAnsi="Times New Roman Regular" w:cs="Times New Roman Regular"/>
                <w:sz w:val="20"/>
                <w:szCs w:val="20"/>
                <w:highlight w:val="none"/>
                <w:vertAlign w:val="baseline"/>
                <w:lang w:val="en-US" w:eastAsia="zh-CN"/>
              </w:rPr>
            </w:pPr>
            <w:r>
              <w:rPr>
                <w:rFonts w:hint="eastAsia" w:ascii="Times New Roman Regular" w:hAnsi="Times New Roman Regular" w:cs="Times New Roman Regular"/>
                <w:sz w:val="20"/>
                <w:szCs w:val="20"/>
                <w:highlight w:val="none"/>
                <w:vertAlign w:val="baseline"/>
                <w:lang w:val="en-US" w:eastAsia="zh-CN"/>
              </w:rPr>
              <w:t xml:space="preserve">Individuals sharing firsthand experiences with </w:t>
            </w:r>
            <w:r>
              <w:rPr>
                <w:rFonts w:hint="default" w:ascii="Times New Roman Regular" w:hAnsi="Times New Roman Regular" w:cs="Times New Roman Regular"/>
                <w:sz w:val="20"/>
                <w:szCs w:val="20"/>
                <w:highlight w:val="none"/>
                <w:vertAlign w:val="baseline"/>
                <w:lang w:val="en-US" w:eastAsia="zh-CN"/>
              </w:rPr>
              <w:t>myasthenia gravis</w:t>
            </w:r>
            <w:r>
              <w:rPr>
                <w:rFonts w:hint="eastAsia" w:ascii="Times New Roman Regular" w:hAnsi="Times New Roman Regular" w:cs="Times New Roman Regular"/>
                <w:sz w:val="20"/>
                <w:szCs w:val="20"/>
                <w:highlight w:val="none"/>
                <w:vertAlign w:val="baseline"/>
                <w:lang w:val="en-US" w:eastAsia="zh-CN"/>
              </w:rPr>
              <w:t>, including personal symptom accounts, treatment journeys, daily life adaptations, and caregiving perspectives. These narratives provide real-world insights into disease management but are distinct from professionally guided medical recommendations.</w:t>
            </w:r>
          </w:p>
        </w:tc>
      </w:tr>
    </w:tbl>
    <w:p w14:paraId="6BEC085B">
      <w:pPr>
        <w:rPr>
          <w:rFonts w:hint="eastAsia" w:ascii="Times New Roman Regular" w:hAnsi="Times New Roman Regular" w:cs="Times New Roman Regular"/>
          <w:sz w:val="20"/>
          <w:szCs w:val="20"/>
          <w:highlight w:val="none"/>
          <w:vertAlign w:val="baseline"/>
          <w:lang w:val="en-US" w:eastAsia="zh-CN"/>
        </w:rPr>
      </w:pPr>
    </w:p>
    <w:p w14:paraId="2CFD82FE">
      <w:pPr>
        <w:rPr>
          <w:rFonts w:hint="eastAsia" w:ascii="Times New Roman" w:hAnsi="Times New Roman" w:cs="Times New Roman"/>
          <w:sz w:val="20"/>
          <w:szCs w:val="20"/>
          <w:lang w:val="en-US" w:eastAsia="zh-CN"/>
        </w:rPr>
      </w:pPr>
    </w:p>
    <w:p w14:paraId="4F9D9D65">
      <w:pPr>
        <w:spacing w:line="240" w:lineRule="auto"/>
        <w:rPr>
          <w:rFonts w:hint="default" w:ascii="Times New Roman" w:hAnsi="Times New Roman" w:cs="Times New Roman"/>
          <w:b/>
          <w:bCs/>
          <w:sz w:val="24"/>
          <w:szCs w:val="24"/>
          <w:lang w:val="en-US"/>
        </w:rPr>
      </w:pPr>
      <w:r>
        <w:rPr>
          <w:rFonts w:ascii="Times New Roman" w:hAnsi="Times New Roman" w:cs="Times New Roman"/>
          <w:b/>
          <w:bCs/>
          <w:sz w:val="24"/>
          <w:szCs w:val="24"/>
        </w:rPr>
        <w:t xml:space="preserve">Supplementary </w:t>
      </w:r>
      <w:r>
        <w:rPr>
          <w:rFonts w:hint="eastAsia" w:ascii="Times New Roman" w:hAnsi="Times New Roman" w:cs="Times New Roman"/>
          <w:b/>
          <w:bCs/>
          <w:sz w:val="24"/>
          <w:szCs w:val="24"/>
          <w:lang w:val="en-US" w:eastAsia="zh-CN"/>
        </w:rPr>
        <w:t>T</w:t>
      </w:r>
      <w:r>
        <w:rPr>
          <w:rFonts w:ascii="Times New Roman" w:hAnsi="Times New Roman" w:cs="Times New Roman"/>
          <w:b/>
          <w:bCs/>
          <w:sz w:val="24"/>
          <w:szCs w:val="24"/>
        </w:rPr>
        <w:t>able</w:t>
      </w:r>
      <w:r>
        <w:rPr>
          <w:rFonts w:hint="eastAsia"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3</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Detailed</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c</w:t>
      </w:r>
      <w:r>
        <w:rPr>
          <w:rFonts w:ascii="Times New Roman" w:hAnsi="Times New Roman" w:cs="Times New Roman"/>
          <w:b/>
          <w:bCs/>
          <w:sz w:val="24"/>
          <w:szCs w:val="24"/>
        </w:rPr>
        <w:t xml:space="preserve">lassification </w:t>
      </w:r>
      <w:r>
        <w:rPr>
          <w:rFonts w:hint="eastAsia" w:ascii="Times New Roman" w:hAnsi="Times New Roman" w:cs="Times New Roman"/>
          <w:b/>
          <w:bCs/>
          <w:sz w:val="24"/>
          <w:szCs w:val="24"/>
        </w:rPr>
        <w:t>and definition</w:t>
      </w:r>
      <w:r>
        <w:rPr>
          <w:rFonts w:ascii="Times New Roman" w:hAnsi="Times New Roman" w:cs="Times New Roman"/>
          <w:b/>
          <w:bCs/>
          <w:sz w:val="24"/>
          <w:szCs w:val="24"/>
        </w:rPr>
        <w:t xml:space="preserve"> of</w:t>
      </w:r>
      <w:r>
        <w:rPr>
          <w:rFonts w:hint="eastAsia" w:ascii="Times New Roman" w:hAnsi="Times New Roman" w:cs="Times New Roman"/>
          <w:b/>
          <w:bCs/>
          <w:sz w:val="24"/>
          <w:szCs w:val="24"/>
          <w:lang w:val="en-US" w:eastAsia="zh-CN"/>
        </w:rPr>
        <w:t xml:space="preserve"> presentation style</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in the video </w:t>
      </w:r>
      <w:r>
        <w:rPr>
          <w:rFonts w:hint="eastAsia" w:ascii="Times New Roman" w:hAnsi="Times New Roman" w:cs="Times New Roman"/>
          <w:b/>
          <w:bCs/>
          <w:sz w:val="24"/>
          <w:szCs w:val="24"/>
          <w:lang w:val="en-US" w:eastAsia="zh-CN"/>
        </w:rPr>
        <w:t xml:space="preserve"> </w:t>
      </w:r>
    </w:p>
    <w:tbl>
      <w:tblPr>
        <w:tblStyle w:val="3"/>
        <w:tblpPr w:leftFromText="180" w:rightFromText="180" w:vertAnchor="text" w:horzAnchor="page" w:tblpX="755" w:tblpY="54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5"/>
        <w:gridCol w:w="7667"/>
      </w:tblGrid>
      <w:tr w14:paraId="510A604B">
        <w:trPr>
          <w:trHeight w:val="326" w:hRule="atLeast"/>
        </w:trPr>
        <w:tc>
          <w:tcPr>
            <w:tcW w:w="3015" w:type="dxa"/>
            <w:tcBorders>
              <w:top w:val="single" w:color="auto" w:sz="12" w:space="0"/>
              <w:bottom w:val="single" w:color="auto" w:sz="6" w:space="0"/>
            </w:tcBorders>
            <w:noWrap/>
          </w:tcPr>
          <w:p w14:paraId="27BA68C3">
            <w:pPr>
              <w:widowControl/>
              <w:jc w:val="left"/>
              <w:rPr>
                <w:rFonts w:ascii="Times New Roman" w:hAnsi="Times New Roman" w:cs="Times New Roman"/>
                <w:b/>
                <w:bCs/>
                <w:sz w:val="20"/>
                <w:szCs w:val="20"/>
              </w:rPr>
            </w:pPr>
            <w:r>
              <w:rPr>
                <w:rFonts w:hint="eastAsia" w:ascii="Times New Roman" w:hAnsi="Times New Roman" w:cs="Times New Roman"/>
                <w:b/>
                <w:bCs/>
                <w:sz w:val="20"/>
                <w:szCs w:val="20"/>
                <w:lang w:val="en-US" w:eastAsia="zh-CN"/>
              </w:rPr>
              <w:t xml:space="preserve"> Presentation Style</w:t>
            </w:r>
          </w:p>
        </w:tc>
        <w:tc>
          <w:tcPr>
            <w:tcW w:w="7667" w:type="dxa"/>
            <w:tcBorders>
              <w:top w:val="single" w:color="auto" w:sz="12" w:space="0"/>
              <w:bottom w:val="single" w:color="auto" w:sz="6" w:space="0"/>
            </w:tcBorders>
            <w:noWrap/>
          </w:tcPr>
          <w:p w14:paraId="3005B45A">
            <w:pPr>
              <w:widowControl/>
              <w:jc w:val="left"/>
              <w:rPr>
                <w:rFonts w:ascii="Times New Roman" w:hAnsi="Times New Roman" w:cs="Times New Roman"/>
                <w:sz w:val="20"/>
                <w:szCs w:val="20"/>
              </w:rPr>
            </w:pPr>
            <w:r>
              <w:rPr>
                <w:rFonts w:hint="default" w:ascii="Times New Roman Bold" w:hAnsi="Times New Roman Bold" w:cs="Times New Roman Bold"/>
                <w:b w:val="0"/>
                <w:bCs w:val="0"/>
                <w:color w:val="000000"/>
                <w:sz w:val="20"/>
                <w:szCs w:val="20"/>
              </w:rPr>
              <w:t>Introduction</w:t>
            </w:r>
          </w:p>
        </w:tc>
      </w:tr>
      <w:tr w14:paraId="702720A9">
        <w:trPr>
          <w:trHeight w:val="392" w:hRule="atLeast"/>
        </w:trPr>
        <w:tc>
          <w:tcPr>
            <w:tcW w:w="10682" w:type="dxa"/>
            <w:gridSpan w:val="2"/>
            <w:tcBorders>
              <w:top w:val="single" w:color="auto" w:sz="6" w:space="0"/>
              <w:bottom w:val="nil"/>
            </w:tcBorders>
            <w:noWrap/>
            <w:vAlign w:val="top"/>
          </w:tcPr>
          <w:p w14:paraId="263BC7E8">
            <w:pPr>
              <w:widowControl/>
              <w:jc w:val="left"/>
              <w:rPr>
                <w:rFonts w:hint="eastAsia" w:ascii="Times New Roman" w:hAnsi="Times New Roman" w:cs="Times New Roman"/>
                <w:b/>
                <w:bCs/>
                <w:sz w:val="20"/>
                <w:szCs w:val="20"/>
              </w:rPr>
            </w:pPr>
            <w:r>
              <w:rPr>
                <w:rFonts w:hint="eastAsia" w:ascii="Times New Roman" w:hAnsi="Times New Roman" w:cs="Times New Roman"/>
                <w:b/>
                <w:bCs/>
                <w:sz w:val="20"/>
                <w:szCs w:val="20"/>
                <w:lang w:val="en-US" w:eastAsia="zh-CN"/>
              </w:rPr>
              <w:t>Communication Format</w:t>
            </w:r>
          </w:p>
        </w:tc>
      </w:tr>
      <w:tr w14:paraId="7A133EEE">
        <w:trPr>
          <w:trHeight w:val="392" w:hRule="atLeast"/>
        </w:trPr>
        <w:tc>
          <w:tcPr>
            <w:tcW w:w="3015" w:type="dxa"/>
            <w:tcBorders>
              <w:top w:val="nil"/>
              <w:bottom w:val="nil"/>
            </w:tcBorders>
            <w:noWrap/>
            <w:vAlign w:val="top"/>
          </w:tcPr>
          <w:p w14:paraId="422F110C">
            <w:pPr>
              <w:widowControl/>
              <w:jc w:val="left"/>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Physician Monologue</w:t>
            </w:r>
          </w:p>
        </w:tc>
        <w:tc>
          <w:tcPr>
            <w:tcW w:w="7667" w:type="dxa"/>
            <w:tcBorders>
              <w:top w:val="nil"/>
              <w:bottom w:val="nil"/>
            </w:tcBorders>
            <w:noWrap/>
            <w:vAlign w:val="top"/>
          </w:tcPr>
          <w:p w14:paraId="0B0EED68">
            <w:pPr>
              <w:widowControl/>
              <w:jc w:val="left"/>
              <w:rPr>
                <w:rFonts w:hint="eastAsia" w:ascii="Times New Roman" w:hAnsi="Times New Roman" w:cs="Times New Roman"/>
                <w:b w:val="0"/>
                <w:bCs w:val="0"/>
                <w:sz w:val="20"/>
                <w:szCs w:val="20"/>
                <w:lang w:val="en-US" w:eastAsia="zh-CN"/>
              </w:rPr>
            </w:pPr>
            <w:r>
              <w:rPr>
                <w:rFonts w:hint="eastAsia" w:ascii="Times New Roman" w:hAnsi="Times New Roman" w:cs="Times New Roman"/>
                <w:b w:val="0"/>
                <w:bCs w:val="0"/>
                <w:sz w:val="20"/>
                <w:szCs w:val="20"/>
                <w:lang w:val="en-US" w:eastAsia="zh-CN"/>
              </w:rPr>
              <w:t>The video features a physician speaking directly to the camera in a narrative or expository manner, typically as the sole presenter without real-time interaction with patients or other healthcare professionals.</w:t>
            </w:r>
          </w:p>
        </w:tc>
      </w:tr>
      <w:tr w14:paraId="6260A9F8">
        <w:trPr>
          <w:trHeight w:val="392" w:hRule="atLeast"/>
        </w:trPr>
        <w:tc>
          <w:tcPr>
            <w:tcW w:w="3015" w:type="dxa"/>
            <w:tcBorders>
              <w:top w:val="nil"/>
              <w:bottom w:val="nil"/>
            </w:tcBorders>
            <w:noWrap/>
            <w:vAlign w:val="top"/>
          </w:tcPr>
          <w:p w14:paraId="00991163">
            <w:pPr>
              <w:widowControl/>
              <w:jc w:val="left"/>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Ward Round</w:t>
            </w:r>
          </w:p>
        </w:tc>
        <w:tc>
          <w:tcPr>
            <w:tcW w:w="7667" w:type="dxa"/>
            <w:tcBorders>
              <w:top w:val="nil"/>
              <w:bottom w:val="nil"/>
            </w:tcBorders>
            <w:noWrap/>
            <w:vAlign w:val="top"/>
          </w:tcPr>
          <w:p w14:paraId="7971E77A">
            <w:pPr>
              <w:widowControl/>
              <w:jc w:val="left"/>
              <w:rPr>
                <w:rFonts w:hint="eastAsia" w:ascii="Times New Roman" w:hAnsi="Times New Roman" w:cs="Times New Roman"/>
                <w:b w:val="0"/>
                <w:bCs w:val="0"/>
                <w:sz w:val="20"/>
                <w:szCs w:val="20"/>
                <w:lang w:val="en-US" w:eastAsia="zh-CN"/>
              </w:rPr>
            </w:pPr>
            <w:r>
              <w:rPr>
                <w:rFonts w:hint="eastAsia" w:ascii="Times New Roman" w:hAnsi="Times New Roman" w:cs="Times New Roman"/>
                <w:b w:val="0"/>
                <w:bCs w:val="0"/>
                <w:sz w:val="20"/>
                <w:szCs w:val="20"/>
                <w:lang w:val="en-US" w:eastAsia="zh-CN"/>
              </w:rPr>
              <w:t>The content captures or simulates a physician's interaction with a hospitalized patient or a medical team discussion at the bedside, demonstrating clinical activities in an inpatient setting.</w:t>
            </w:r>
          </w:p>
        </w:tc>
      </w:tr>
      <w:tr w14:paraId="21B5C50C">
        <w:trPr>
          <w:trHeight w:val="392" w:hRule="atLeast"/>
        </w:trPr>
        <w:tc>
          <w:tcPr>
            <w:tcW w:w="3015" w:type="dxa"/>
            <w:tcBorders>
              <w:top w:val="nil"/>
              <w:bottom w:val="nil"/>
            </w:tcBorders>
            <w:noWrap/>
            <w:vAlign w:val="top"/>
          </w:tcPr>
          <w:p w14:paraId="703C36FD">
            <w:pPr>
              <w:widowControl/>
              <w:jc w:val="left"/>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Outpatient Consultation</w:t>
            </w:r>
          </w:p>
        </w:tc>
        <w:tc>
          <w:tcPr>
            <w:tcW w:w="7667" w:type="dxa"/>
            <w:tcBorders>
              <w:top w:val="nil"/>
              <w:bottom w:val="nil"/>
            </w:tcBorders>
            <w:noWrap/>
            <w:vAlign w:val="top"/>
          </w:tcPr>
          <w:p w14:paraId="3F11C021">
            <w:pPr>
              <w:widowControl/>
              <w:jc w:val="left"/>
              <w:rPr>
                <w:rFonts w:hint="eastAsia" w:ascii="Times New Roman" w:hAnsi="Times New Roman" w:cs="Times New Roman"/>
                <w:b w:val="0"/>
                <w:bCs w:val="0"/>
                <w:sz w:val="20"/>
                <w:szCs w:val="20"/>
                <w:lang w:val="en-US" w:eastAsia="zh-CN"/>
              </w:rPr>
            </w:pPr>
            <w:r>
              <w:rPr>
                <w:rFonts w:hint="eastAsia" w:ascii="Times New Roman" w:hAnsi="Times New Roman" w:cs="Times New Roman"/>
                <w:b w:val="0"/>
                <w:bCs w:val="0"/>
                <w:sz w:val="20"/>
                <w:szCs w:val="20"/>
                <w:lang w:val="en-US" w:eastAsia="zh-CN"/>
              </w:rPr>
              <w:t>The video presents a real or simulated interaction between a physician and a patient in an outpatient clinic setting, showcasing the typical dialogue and consultation process.</w:t>
            </w:r>
          </w:p>
        </w:tc>
      </w:tr>
      <w:tr w14:paraId="3DF41726">
        <w:trPr>
          <w:trHeight w:val="392" w:hRule="atLeast"/>
        </w:trPr>
        <w:tc>
          <w:tcPr>
            <w:tcW w:w="3015" w:type="dxa"/>
            <w:tcBorders>
              <w:top w:val="nil"/>
              <w:bottom w:val="nil"/>
            </w:tcBorders>
            <w:noWrap/>
            <w:vAlign w:val="top"/>
          </w:tcPr>
          <w:p w14:paraId="0CF31727">
            <w:pPr>
              <w:widowControl/>
              <w:jc w:val="left"/>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Other Format</w:t>
            </w:r>
          </w:p>
        </w:tc>
        <w:tc>
          <w:tcPr>
            <w:tcW w:w="7667" w:type="dxa"/>
            <w:tcBorders>
              <w:top w:val="nil"/>
              <w:bottom w:val="nil"/>
            </w:tcBorders>
            <w:noWrap/>
            <w:vAlign w:val="top"/>
          </w:tcPr>
          <w:p w14:paraId="73D4D974">
            <w:pPr>
              <w:widowControl/>
              <w:jc w:val="left"/>
              <w:rPr>
                <w:rFonts w:hint="eastAsia" w:ascii="Times New Roman" w:hAnsi="Times New Roman" w:cs="Times New Roman"/>
                <w:b w:val="0"/>
                <w:bCs w:val="0"/>
                <w:sz w:val="20"/>
                <w:szCs w:val="20"/>
                <w:lang w:val="en-US" w:eastAsia="zh-CN"/>
              </w:rPr>
            </w:pPr>
            <w:r>
              <w:rPr>
                <w:rFonts w:hint="eastAsia" w:ascii="Times New Roman" w:hAnsi="Times New Roman" w:cs="Times New Roman"/>
                <w:b w:val="0"/>
                <w:bCs w:val="0"/>
                <w:sz w:val="20"/>
                <w:szCs w:val="20"/>
                <w:lang w:val="en-US" w:eastAsia="zh-CN"/>
              </w:rPr>
              <w:t>This category encompasses any presentation style not covered above, such as pure animation, slideshow-based narration, or personal storytelling by patients/families without any physician presence.</w:t>
            </w:r>
          </w:p>
        </w:tc>
      </w:tr>
      <w:tr w14:paraId="07E5763B">
        <w:trPr>
          <w:trHeight w:val="392" w:hRule="atLeast"/>
        </w:trPr>
        <w:tc>
          <w:tcPr>
            <w:tcW w:w="10682" w:type="dxa"/>
            <w:gridSpan w:val="2"/>
            <w:tcBorders>
              <w:top w:val="nil"/>
              <w:bottom w:val="nil"/>
            </w:tcBorders>
            <w:noWrap/>
            <w:vAlign w:val="top"/>
          </w:tcPr>
          <w:p w14:paraId="52FDC8C7">
            <w:pPr>
              <w:widowControl/>
              <w:jc w:val="left"/>
              <w:rPr>
                <w:rFonts w:hint="eastAsia" w:ascii="Times New Roman" w:hAnsi="Times New Roman" w:cs="Times New Roman"/>
                <w:b/>
                <w:bCs/>
                <w:sz w:val="20"/>
                <w:szCs w:val="20"/>
                <w:lang w:val="en-US" w:eastAsia="zh-CN"/>
              </w:rPr>
            </w:pPr>
            <w:r>
              <w:rPr>
                <w:rFonts w:hint="eastAsia" w:ascii="Times New Roman" w:hAnsi="Times New Roman" w:cs="Times New Roman"/>
                <w:b/>
                <w:bCs/>
                <w:sz w:val="20"/>
                <w:szCs w:val="20"/>
                <w:lang w:val="en-US" w:eastAsia="zh-CN"/>
              </w:rPr>
              <w:t>Background Environment</w:t>
            </w:r>
          </w:p>
        </w:tc>
      </w:tr>
      <w:tr w14:paraId="163BA799">
        <w:trPr>
          <w:trHeight w:val="392" w:hRule="atLeast"/>
        </w:trPr>
        <w:tc>
          <w:tcPr>
            <w:tcW w:w="3015" w:type="dxa"/>
            <w:tcBorders>
              <w:top w:val="nil"/>
              <w:bottom w:val="nil"/>
            </w:tcBorders>
            <w:shd w:val="clear" w:color="auto" w:fill="FFFFFF"/>
            <w:noWrap/>
            <w:vAlign w:val="top"/>
          </w:tcPr>
          <w:p w14:paraId="3EFEA82E">
            <w:pPr>
              <w:widowControl/>
              <w:jc w:val="left"/>
              <w:rPr>
                <w:rFonts w:hint="eastAsia" w:ascii="Times New Roman" w:hAnsi="Times New Roman" w:cs="Times New Roman" w:eastAsiaTheme="minorEastAsia"/>
                <w:b w:val="0"/>
                <w:color w:val="000000"/>
                <w:kern w:val="2"/>
                <w:sz w:val="20"/>
                <w:szCs w:val="20"/>
                <w:lang w:val="en-US" w:eastAsia="zh-CN" w:bidi="ar-SA"/>
              </w:rPr>
            </w:pPr>
            <w:r>
              <w:rPr>
                <w:rFonts w:ascii="Times New Roman" w:hAnsi="Times New Roman" w:cs="Times New Roman"/>
                <w:b w:val="0"/>
                <w:color w:val="000000"/>
                <w:sz w:val="20"/>
                <w:szCs w:val="20"/>
                <w:lang w:val="en-US" w:eastAsia="zh-CN"/>
              </w:rPr>
              <w:t xml:space="preserve">Hospital </w:t>
            </w:r>
          </w:p>
        </w:tc>
        <w:tc>
          <w:tcPr>
            <w:tcW w:w="7667" w:type="dxa"/>
            <w:tcBorders>
              <w:top w:val="nil"/>
              <w:bottom w:val="nil"/>
            </w:tcBorders>
            <w:shd w:val="clear" w:color="auto" w:fill="FFFFFF"/>
            <w:noWrap/>
            <w:vAlign w:val="top"/>
          </w:tcPr>
          <w:p w14:paraId="536CCD3B">
            <w:pPr>
              <w:widowControl/>
              <w:jc w:val="left"/>
              <w:rPr>
                <w:rFonts w:hint="eastAsia" w:ascii="Times New Roman" w:hAnsi="Times New Roman" w:cs="Times New Roman" w:eastAsiaTheme="minorEastAsia"/>
                <w:b w:val="0"/>
                <w:color w:val="000000"/>
                <w:kern w:val="2"/>
                <w:sz w:val="20"/>
                <w:szCs w:val="20"/>
                <w:lang w:val="en-US" w:eastAsia="zh-CN" w:bidi="ar-SA"/>
              </w:rPr>
            </w:pPr>
            <w:r>
              <w:rPr>
                <w:rFonts w:ascii="Times New Roman" w:hAnsi="Times New Roman" w:cs="Times New Roman"/>
                <w:b w:val="0"/>
                <w:color w:val="000000"/>
                <w:sz w:val="20"/>
                <w:szCs w:val="20"/>
                <w:lang w:val="en-US" w:eastAsia="zh-CN"/>
              </w:rPr>
              <w:t>Videos filmed in hospital areas , such as outpatient clinics, patient wards, or physician offices. Background may include desks, medical charts, computers, or simple medical tools.</w:t>
            </w:r>
          </w:p>
        </w:tc>
      </w:tr>
      <w:tr w14:paraId="0108E742">
        <w:trPr>
          <w:trHeight w:val="392" w:hRule="atLeast"/>
        </w:trPr>
        <w:tc>
          <w:tcPr>
            <w:tcW w:w="3015" w:type="dxa"/>
            <w:tcBorders>
              <w:top w:val="nil"/>
              <w:bottom w:val="nil"/>
            </w:tcBorders>
            <w:shd w:val="clear" w:color="auto" w:fill="FFFFFF"/>
            <w:noWrap/>
            <w:vAlign w:val="top"/>
          </w:tcPr>
          <w:p w14:paraId="75DA5C20">
            <w:pPr>
              <w:widowControl/>
              <w:jc w:val="left"/>
              <w:rPr>
                <w:rFonts w:hint="eastAsia" w:ascii="Times New Roman" w:hAnsi="Times New Roman" w:cs="Times New Roman" w:eastAsiaTheme="minorEastAsia"/>
                <w:b w:val="0"/>
                <w:color w:val="000000"/>
                <w:kern w:val="2"/>
                <w:sz w:val="20"/>
                <w:szCs w:val="20"/>
                <w:lang w:val="en-US" w:eastAsia="zh-CN" w:bidi="ar-SA"/>
              </w:rPr>
            </w:pPr>
            <w:r>
              <w:rPr>
                <w:rFonts w:hint="eastAsia" w:ascii="Times New Roman" w:hAnsi="Times New Roman" w:cs="Times New Roman" w:eastAsiaTheme="minorEastAsia"/>
                <w:b w:val="0"/>
                <w:color w:val="000000"/>
                <w:kern w:val="2"/>
                <w:sz w:val="20"/>
                <w:szCs w:val="20"/>
                <w:lang w:val="en-US" w:eastAsia="zh-CN" w:bidi="ar-SA"/>
              </w:rPr>
              <w:t>Other</w:t>
            </w:r>
            <w:r>
              <w:rPr>
                <w:rFonts w:hint="eastAsia" w:ascii="Times New Roman" w:hAnsi="Times New Roman" w:cs="Times New Roman"/>
                <w:b w:val="0"/>
                <w:color w:val="000000"/>
                <w:kern w:val="2"/>
                <w:sz w:val="20"/>
                <w:szCs w:val="20"/>
                <w:lang w:val="en-US" w:eastAsia="zh-CN" w:bidi="ar-SA"/>
              </w:rPr>
              <w:t xml:space="preserve"> </w:t>
            </w:r>
            <w:r>
              <w:rPr>
                <w:rFonts w:ascii="Times New Roman" w:hAnsi="Times New Roman" w:cs="Times New Roman"/>
                <w:b w:val="0"/>
                <w:color w:val="000000"/>
                <w:sz w:val="20"/>
                <w:szCs w:val="20"/>
                <w:lang w:val="en-US" w:eastAsia="zh-CN"/>
              </w:rPr>
              <w:t>Background</w:t>
            </w:r>
          </w:p>
        </w:tc>
        <w:tc>
          <w:tcPr>
            <w:tcW w:w="7667" w:type="dxa"/>
            <w:tcBorders>
              <w:top w:val="nil"/>
              <w:bottom w:val="nil"/>
            </w:tcBorders>
            <w:shd w:val="clear" w:color="auto" w:fill="FFFFFF"/>
            <w:noWrap/>
            <w:vAlign w:val="top"/>
          </w:tcPr>
          <w:p w14:paraId="0D6BA637">
            <w:pPr>
              <w:widowControl/>
              <w:jc w:val="left"/>
              <w:rPr>
                <w:rFonts w:hint="eastAsia" w:ascii="Times New Roman" w:hAnsi="Times New Roman" w:cs="Times New Roman" w:eastAsiaTheme="minorEastAsia"/>
                <w:b w:val="0"/>
                <w:color w:val="000000"/>
                <w:kern w:val="2"/>
                <w:sz w:val="20"/>
                <w:szCs w:val="20"/>
                <w:lang w:val="en-US" w:eastAsia="zh-CN" w:bidi="ar-SA"/>
              </w:rPr>
            </w:pPr>
            <w:r>
              <w:rPr>
                <w:rFonts w:hint="eastAsia" w:ascii="Times New Roman" w:hAnsi="Times New Roman" w:cs="Times New Roman"/>
                <w:b w:val="0"/>
                <w:color w:val="000000"/>
                <w:sz w:val="20"/>
                <w:szCs w:val="20"/>
                <w:lang w:val="en-US" w:eastAsia="zh-CN"/>
              </w:rPr>
              <w:t xml:space="preserve">Videos filmed outside medical facilities, such as private homes, community centers, or public spaces.  Examples include daily care demonstrations, home safety modifications, or discussions of </w:t>
            </w:r>
            <w:r>
              <w:rPr>
                <w:rFonts w:hint="default" w:ascii="Times New Roman Regular" w:hAnsi="Times New Roman Regular" w:cs="Times New Roman Regular"/>
                <w:sz w:val="20"/>
                <w:szCs w:val="20"/>
                <w:highlight w:val="none"/>
                <w:vertAlign w:val="baseline"/>
                <w:lang w:val="en-US" w:eastAsia="zh-CN"/>
              </w:rPr>
              <w:t>myasthenia gravis</w:t>
            </w:r>
            <w:r>
              <w:rPr>
                <w:rFonts w:hint="eastAsia" w:ascii="Times New Roman" w:hAnsi="Times New Roman" w:cs="Times New Roman"/>
                <w:b w:val="0"/>
                <w:color w:val="000000"/>
                <w:sz w:val="20"/>
                <w:szCs w:val="20"/>
                <w:lang w:val="en-US" w:eastAsia="zh-CN"/>
              </w:rPr>
              <w:t xml:space="preserve"> held in non-clinical environments.</w:t>
            </w:r>
          </w:p>
        </w:tc>
      </w:tr>
      <w:tr w14:paraId="2A2A5D37">
        <w:trPr>
          <w:trHeight w:val="392" w:hRule="atLeast"/>
        </w:trPr>
        <w:tc>
          <w:tcPr>
            <w:tcW w:w="3015" w:type="dxa"/>
            <w:tcBorders>
              <w:top w:val="nil"/>
              <w:bottom w:val="nil"/>
            </w:tcBorders>
            <w:shd w:val="clear" w:color="auto" w:fill="FFFFFF"/>
            <w:noWrap/>
            <w:vAlign w:val="top"/>
          </w:tcPr>
          <w:p w14:paraId="3C3B6EFB">
            <w:pPr>
              <w:widowControl/>
              <w:jc w:val="left"/>
              <w:rPr>
                <w:rFonts w:ascii="Times New Roman" w:hAnsi="Times New Roman" w:cs="Times New Roman"/>
                <w:b w:val="0"/>
                <w:color w:val="000000"/>
                <w:sz w:val="20"/>
                <w:szCs w:val="20"/>
              </w:rPr>
            </w:pPr>
            <w:r>
              <w:rPr>
                <w:rFonts w:ascii="Times New Roman" w:hAnsi="Times New Roman" w:cs="Times New Roman"/>
                <w:b w:val="0"/>
                <w:color w:val="000000"/>
                <w:sz w:val="20"/>
                <w:szCs w:val="20"/>
                <w:lang w:val="en-US" w:eastAsia="zh-CN"/>
              </w:rPr>
              <w:t>Virtual Background</w:t>
            </w:r>
          </w:p>
          <w:p w14:paraId="212616D5">
            <w:pPr>
              <w:widowControl/>
              <w:jc w:val="left"/>
              <w:rPr>
                <w:rFonts w:hint="eastAsia" w:ascii="Times New Roman" w:hAnsi="Times New Roman" w:cs="Times New Roman" w:eastAsiaTheme="minorEastAsia"/>
                <w:b w:val="0"/>
                <w:color w:val="000000"/>
                <w:kern w:val="2"/>
                <w:sz w:val="20"/>
                <w:szCs w:val="20"/>
                <w:lang w:val="en-US" w:eastAsia="zh-CN" w:bidi="ar-SA"/>
              </w:rPr>
            </w:pPr>
          </w:p>
        </w:tc>
        <w:tc>
          <w:tcPr>
            <w:tcW w:w="7667" w:type="dxa"/>
            <w:tcBorders>
              <w:top w:val="nil"/>
              <w:bottom w:val="nil"/>
            </w:tcBorders>
            <w:shd w:val="clear" w:color="auto" w:fill="FFFFFF"/>
            <w:noWrap/>
            <w:vAlign w:val="top"/>
          </w:tcPr>
          <w:p w14:paraId="7CCF1EB6">
            <w:pPr>
              <w:widowControl/>
              <w:jc w:val="left"/>
              <w:rPr>
                <w:rFonts w:hint="eastAsia" w:ascii="Times New Roman" w:hAnsi="Times New Roman" w:cs="Times New Roman" w:eastAsiaTheme="minorEastAsia"/>
                <w:b w:val="0"/>
                <w:color w:val="000000"/>
                <w:kern w:val="2"/>
                <w:sz w:val="20"/>
                <w:szCs w:val="20"/>
                <w:lang w:val="en-US" w:eastAsia="zh-CN" w:bidi="ar-SA"/>
              </w:rPr>
            </w:pPr>
            <w:r>
              <w:rPr>
                <w:rFonts w:hint="eastAsia" w:ascii="Times New Roman" w:hAnsi="Times New Roman" w:cs="Times New Roman"/>
                <w:b w:val="0"/>
                <w:color w:val="000000"/>
                <w:sz w:val="20"/>
                <w:szCs w:val="20"/>
              </w:rPr>
              <w:t xml:space="preserve">Videos utilizing digitally generated or abstract backgrounds, such as neurological diagrams, brain imaging visualizations, or simplified conceptual animations. </w:t>
            </w:r>
          </w:p>
        </w:tc>
      </w:tr>
      <w:tr w14:paraId="4E6365A9">
        <w:trPr>
          <w:trHeight w:val="392" w:hRule="atLeast"/>
        </w:trPr>
        <w:tc>
          <w:tcPr>
            <w:tcW w:w="10682" w:type="dxa"/>
            <w:gridSpan w:val="2"/>
            <w:tcBorders>
              <w:top w:val="nil"/>
              <w:bottom w:val="nil"/>
            </w:tcBorders>
            <w:noWrap/>
          </w:tcPr>
          <w:p w14:paraId="157E5ACC">
            <w:pPr>
              <w:widowControl/>
              <w:jc w:val="left"/>
              <w:rPr>
                <w:rFonts w:hint="eastAsia" w:ascii="Times New Roman" w:hAnsi="Times New Roman" w:cs="Times New Roman"/>
                <w:sz w:val="20"/>
                <w:szCs w:val="20"/>
              </w:rPr>
            </w:pPr>
            <w:r>
              <w:rPr>
                <w:rFonts w:hint="eastAsia" w:ascii="Times New Roman" w:hAnsi="Times New Roman" w:cs="Times New Roman"/>
                <w:b/>
                <w:bCs/>
                <w:sz w:val="20"/>
                <w:szCs w:val="20"/>
              </w:rPr>
              <w:t xml:space="preserve">Visual </w:t>
            </w:r>
            <w:r>
              <w:rPr>
                <w:rFonts w:hint="eastAsia" w:ascii="Times New Roman" w:hAnsi="Times New Roman" w:cs="Times New Roman"/>
                <w:b/>
                <w:bCs/>
                <w:sz w:val="20"/>
                <w:szCs w:val="20"/>
                <w:lang w:val="en-US" w:eastAsia="zh-CN"/>
              </w:rPr>
              <w:t xml:space="preserve">Information Delivery </w:t>
            </w:r>
          </w:p>
        </w:tc>
      </w:tr>
      <w:tr w14:paraId="3B47F2A1">
        <w:trPr>
          <w:trHeight w:val="653" w:hRule="atLeast"/>
        </w:trPr>
        <w:tc>
          <w:tcPr>
            <w:tcW w:w="3015" w:type="dxa"/>
            <w:tcBorders>
              <w:top w:val="nil"/>
            </w:tcBorders>
            <w:noWrap/>
          </w:tcPr>
          <w:p w14:paraId="37367540">
            <w:pPr>
              <w:widowControl/>
              <w:jc w:val="left"/>
              <w:rPr>
                <w:rFonts w:ascii="Times New Roman" w:hAnsi="Times New Roman" w:cs="Times New Roman"/>
                <w:sz w:val="20"/>
                <w:szCs w:val="20"/>
              </w:rPr>
            </w:pPr>
            <w:r>
              <w:rPr>
                <w:rFonts w:hint="eastAsia" w:ascii="Times New Roman" w:hAnsi="Times New Roman" w:cs="Times New Roman"/>
                <w:sz w:val="20"/>
                <w:szCs w:val="20"/>
                <w:lang w:val="en-US" w:eastAsia="zh-CN"/>
              </w:rPr>
              <w:t>T</w:t>
            </w:r>
            <w:r>
              <w:rPr>
                <w:rFonts w:hint="default" w:ascii="Times New Roman" w:hAnsi="Times New Roman" w:cs="Times New Roman"/>
                <w:sz w:val="20"/>
                <w:szCs w:val="20"/>
                <w:lang w:val="en-US" w:eastAsia="zh-CN"/>
              </w:rPr>
              <w:t>ext-only</w:t>
            </w:r>
          </w:p>
        </w:tc>
        <w:tc>
          <w:tcPr>
            <w:tcW w:w="7667" w:type="dxa"/>
            <w:tcBorders>
              <w:top w:val="nil"/>
            </w:tcBorders>
          </w:tcPr>
          <w:p w14:paraId="70A3503A">
            <w:pPr>
              <w:widowControl/>
              <w:jc w:val="left"/>
              <w:rPr>
                <w:rFonts w:ascii="Times New Roman" w:hAnsi="Times New Roman" w:cs="Times New Roman"/>
                <w:sz w:val="20"/>
                <w:szCs w:val="20"/>
              </w:rPr>
            </w:pPr>
            <w:r>
              <w:rPr>
                <w:rFonts w:ascii="Times New Roman" w:hAnsi="Times New Roman" w:cs="Times New Roman"/>
                <w:sz w:val="20"/>
                <w:szCs w:val="20"/>
                <w:lang w:val="en-US" w:eastAsia="zh-CN"/>
              </w:rPr>
              <w:t>This type refers to videos that rely solely on verbal narration and textual support without using any visual aids such as diagrams, images, or animations to assist in explanation or content presentation.</w:t>
            </w:r>
          </w:p>
        </w:tc>
      </w:tr>
      <w:tr w14:paraId="57E8C1A4">
        <w:trPr>
          <w:trHeight w:val="681" w:hRule="atLeast"/>
        </w:trPr>
        <w:tc>
          <w:tcPr>
            <w:tcW w:w="3015" w:type="dxa"/>
            <w:noWrap/>
          </w:tcPr>
          <w:p w14:paraId="6CA0F74F">
            <w:pPr>
              <w:widowControl/>
              <w:jc w:val="left"/>
              <w:rPr>
                <w:rFonts w:ascii="Times New Roman" w:hAnsi="Times New Roman" w:cs="Times New Roman"/>
                <w:sz w:val="20"/>
                <w:szCs w:val="20"/>
              </w:rPr>
            </w:pPr>
            <w:r>
              <w:rPr>
                <w:rFonts w:hint="eastAsia" w:ascii="Times New Roman" w:hAnsi="Times New Roman" w:cs="Times New Roman"/>
                <w:sz w:val="20"/>
                <w:szCs w:val="20"/>
                <w:lang w:val="en-US" w:eastAsia="zh-CN"/>
              </w:rPr>
              <w:t>S</w:t>
            </w:r>
            <w:r>
              <w:rPr>
                <w:rFonts w:hint="default" w:ascii="Times New Roman" w:hAnsi="Times New Roman" w:cs="Times New Roman"/>
                <w:sz w:val="20"/>
                <w:szCs w:val="20"/>
                <w:lang w:val="en-US" w:eastAsia="zh-CN"/>
              </w:rPr>
              <w:t xml:space="preserve">tatic </w:t>
            </w:r>
            <w:r>
              <w:rPr>
                <w:rFonts w:hint="eastAsia" w:ascii="Times New Roman" w:hAnsi="Times New Roman" w:cs="Times New Roman"/>
                <w:sz w:val="20"/>
                <w:szCs w:val="20"/>
                <w:lang w:val="en-US" w:eastAsia="zh-CN"/>
              </w:rPr>
              <w:t>S</w:t>
            </w:r>
            <w:r>
              <w:rPr>
                <w:rFonts w:hint="default" w:ascii="Times New Roman" w:hAnsi="Times New Roman" w:cs="Times New Roman"/>
                <w:sz w:val="20"/>
                <w:szCs w:val="20"/>
                <w:lang w:val="en-US" w:eastAsia="zh-CN"/>
              </w:rPr>
              <w:t>chematics</w:t>
            </w:r>
          </w:p>
        </w:tc>
        <w:tc>
          <w:tcPr>
            <w:tcW w:w="7667" w:type="dxa"/>
            <w:vAlign w:val="top"/>
          </w:tcPr>
          <w:p w14:paraId="773E2C26">
            <w:pPr>
              <w:widowControl/>
              <w:jc w:val="left"/>
              <w:rPr>
                <w:rFonts w:ascii="Times New Roman" w:hAnsi="Times New Roman" w:cs="Times New Roman"/>
                <w:sz w:val="20"/>
                <w:szCs w:val="20"/>
              </w:rPr>
            </w:pPr>
            <w:r>
              <w:rPr>
                <w:rFonts w:hint="eastAsia" w:ascii="Times New Roman" w:hAnsi="Times New Roman" w:cs="Times New Roman"/>
                <w:sz w:val="20"/>
                <w:szCs w:val="20"/>
              </w:rPr>
              <w:t>This type refers to videos that are supplemented with charts, diagrams, or other visual aids to help explain or present the information.</w:t>
            </w:r>
          </w:p>
        </w:tc>
      </w:tr>
      <w:tr w14:paraId="71CF08E8">
        <w:trPr>
          <w:trHeight w:val="384" w:hRule="atLeast"/>
        </w:trPr>
        <w:tc>
          <w:tcPr>
            <w:tcW w:w="3015" w:type="dxa"/>
            <w:noWrap/>
          </w:tcPr>
          <w:p w14:paraId="6A4E68DA">
            <w:pPr>
              <w:widowControl/>
              <w:jc w:val="left"/>
              <w:rPr>
                <w:rFonts w:ascii="Times New Roman" w:hAnsi="Times New Roman" w:cs="Times New Roman"/>
                <w:sz w:val="20"/>
                <w:szCs w:val="20"/>
              </w:rPr>
            </w:pPr>
            <w:r>
              <w:rPr>
                <w:rFonts w:hint="eastAsia" w:ascii="Times New Roman" w:hAnsi="Times New Roman" w:cs="Times New Roman"/>
                <w:sz w:val="20"/>
                <w:szCs w:val="20"/>
                <w:lang w:val="en-US" w:eastAsia="zh-CN"/>
              </w:rPr>
              <w:t>A</w:t>
            </w:r>
            <w:r>
              <w:rPr>
                <w:rFonts w:hint="default" w:ascii="Times New Roman" w:hAnsi="Times New Roman" w:cs="Times New Roman"/>
                <w:sz w:val="20"/>
                <w:szCs w:val="20"/>
                <w:lang w:val="en-US" w:eastAsia="zh-CN"/>
              </w:rPr>
              <w:t xml:space="preserve">nimated </w:t>
            </w:r>
            <w:r>
              <w:rPr>
                <w:rFonts w:hint="eastAsia" w:ascii="Times New Roman" w:hAnsi="Times New Roman" w:cs="Times New Roman"/>
                <w:sz w:val="20"/>
                <w:szCs w:val="20"/>
                <w:lang w:val="en-US" w:eastAsia="zh-CN"/>
              </w:rPr>
              <w:t>G</w:t>
            </w:r>
            <w:r>
              <w:rPr>
                <w:rFonts w:hint="default" w:ascii="Times New Roman" w:hAnsi="Times New Roman" w:cs="Times New Roman"/>
                <w:sz w:val="20"/>
                <w:szCs w:val="20"/>
                <w:lang w:val="en-US" w:eastAsia="zh-CN"/>
              </w:rPr>
              <w:t>raphics</w:t>
            </w:r>
          </w:p>
        </w:tc>
        <w:tc>
          <w:tcPr>
            <w:tcW w:w="7667" w:type="dxa"/>
          </w:tcPr>
          <w:p w14:paraId="01C8DB17">
            <w:pPr>
              <w:widowControl/>
              <w:jc w:val="left"/>
              <w:rPr>
                <w:rFonts w:ascii="Times New Roman" w:hAnsi="Times New Roman" w:cs="Times New Roman"/>
                <w:sz w:val="20"/>
                <w:szCs w:val="20"/>
              </w:rPr>
            </w:pPr>
            <w:r>
              <w:rPr>
                <w:rFonts w:hint="eastAsia" w:ascii="Times New Roman" w:hAnsi="Times New Roman" w:cs="Times New Roman"/>
                <w:sz w:val="20"/>
                <w:szCs w:val="20"/>
              </w:rPr>
              <w:t>This type refers to videos that use 2D or 3D animatio to present information visually.</w:t>
            </w:r>
          </w:p>
        </w:tc>
      </w:tr>
      <w:tr w14:paraId="01E3D7BD">
        <w:trPr>
          <w:trHeight w:val="384" w:hRule="atLeast"/>
        </w:trPr>
        <w:tc>
          <w:tcPr>
            <w:tcW w:w="10682" w:type="dxa"/>
            <w:gridSpan w:val="2"/>
            <w:noWrap/>
          </w:tcPr>
          <w:p w14:paraId="66E70CD0">
            <w:pPr>
              <w:widowControl/>
              <w:jc w:val="left"/>
              <w:rPr>
                <w:rFonts w:hint="eastAsia" w:ascii="Times New Roman" w:hAnsi="Times New Roman" w:cs="Times New Roman"/>
                <w:sz w:val="20"/>
                <w:szCs w:val="20"/>
              </w:rPr>
            </w:pPr>
            <w:r>
              <w:rPr>
                <w:rFonts w:hint="eastAsia" w:ascii="Times New Roman" w:hAnsi="Times New Roman" w:cs="Times New Roman"/>
                <w:b/>
                <w:bCs/>
                <w:sz w:val="20"/>
                <w:szCs w:val="20"/>
              </w:rPr>
              <w:t xml:space="preserve">Visual </w:t>
            </w:r>
            <w:r>
              <w:rPr>
                <w:rFonts w:hint="eastAsia" w:ascii="Times New Roman" w:hAnsi="Times New Roman" w:cs="Times New Roman"/>
                <w:b/>
                <w:bCs/>
                <w:sz w:val="20"/>
                <w:szCs w:val="20"/>
                <w:lang w:val="en-US" w:eastAsia="zh-CN"/>
              </w:rPr>
              <w:t>T</w:t>
            </w:r>
            <w:r>
              <w:rPr>
                <w:rFonts w:hint="eastAsia" w:ascii="Times New Roman" w:hAnsi="Times New Roman" w:cs="Times New Roman"/>
                <w:b/>
                <w:bCs/>
                <w:sz w:val="20"/>
                <w:szCs w:val="20"/>
              </w:rPr>
              <w:t>ext</w:t>
            </w:r>
          </w:p>
        </w:tc>
      </w:tr>
      <w:tr w14:paraId="541CC864">
        <w:trPr>
          <w:trHeight w:val="384" w:hRule="atLeast"/>
        </w:trPr>
        <w:tc>
          <w:tcPr>
            <w:tcW w:w="3015" w:type="dxa"/>
            <w:noWrap/>
            <w:vAlign w:val="top"/>
          </w:tcPr>
          <w:p w14:paraId="1A0A60B3">
            <w:pPr>
              <w:widowControl/>
              <w:jc w:val="left"/>
              <w:rPr>
                <w:rFonts w:hint="eastAsia" w:ascii="Times New Roman" w:hAnsi="Times New Roman" w:cs="Times New Roman"/>
                <w:sz w:val="20"/>
                <w:szCs w:val="20"/>
              </w:rPr>
            </w:pPr>
            <w:r>
              <w:rPr>
                <w:rFonts w:ascii="Times New Roman" w:hAnsi="Times New Roman" w:cs="Times New Roman"/>
                <w:sz w:val="20"/>
                <w:szCs w:val="20"/>
              </w:rPr>
              <w:t>Subtitles</w:t>
            </w:r>
          </w:p>
        </w:tc>
        <w:tc>
          <w:tcPr>
            <w:tcW w:w="7667" w:type="dxa"/>
            <w:vAlign w:val="top"/>
          </w:tcPr>
          <w:p w14:paraId="3115DD82">
            <w:pPr>
              <w:widowControl/>
              <w:jc w:val="left"/>
              <w:rPr>
                <w:rFonts w:hint="eastAsia" w:ascii="Times New Roman" w:hAnsi="Times New Roman" w:cs="Times New Roman"/>
                <w:sz w:val="20"/>
                <w:szCs w:val="20"/>
              </w:rPr>
            </w:pPr>
            <w:r>
              <w:rPr>
                <w:rFonts w:hint="eastAsia" w:ascii="Times New Roman" w:hAnsi="Times New Roman" w:cs="Times New Roman"/>
                <w:sz w:val="20"/>
                <w:szCs w:val="20"/>
              </w:rPr>
              <w:t>This type refers to videos that include text captions, often used to provide additional information to the dialog or narration, or to provide information for hearing-impaired viewers.</w:t>
            </w:r>
          </w:p>
        </w:tc>
      </w:tr>
      <w:tr w14:paraId="24FEF84C">
        <w:trPr>
          <w:trHeight w:val="384" w:hRule="atLeast"/>
        </w:trPr>
        <w:tc>
          <w:tcPr>
            <w:tcW w:w="3015" w:type="dxa"/>
            <w:shd w:val="clear" w:color="auto" w:fill="auto"/>
            <w:noWrap/>
            <w:vAlign w:val="top"/>
          </w:tcPr>
          <w:p w14:paraId="68530A80">
            <w:pPr>
              <w:widowControl/>
              <w:jc w:val="left"/>
              <w:rPr>
                <w:rFonts w:hint="eastAsia" w:ascii="Times New Roman" w:hAnsi="Times New Roman" w:cs="Times New Roman" w:eastAsiaTheme="minorEastAsia"/>
                <w:kern w:val="2"/>
                <w:sz w:val="20"/>
                <w:szCs w:val="20"/>
                <w:lang w:val="en-US" w:eastAsia="zh-CN" w:bidi="ar-SA"/>
              </w:rPr>
            </w:pPr>
            <w:r>
              <w:rPr>
                <w:rFonts w:ascii="Times New Roman" w:hAnsi="Times New Roman" w:cs="Times New Roman"/>
                <w:sz w:val="20"/>
                <w:szCs w:val="20"/>
              </w:rPr>
              <w:t>No subtitles</w:t>
            </w:r>
          </w:p>
        </w:tc>
        <w:tc>
          <w:tcPr>
            <w:tcW w:w="7667" w:type="dxa"/>
            <w:shd w:val="clear" w:color="auto" w:fill="auto"/>
            <w:vAlign w:val="top"/>
          </w:tcPr>
          <w:p w14:paraId="76CDBEE8">
            <w:pPr>
              <w:widowControl/>
              <w:jc w:val="left"/>
              <w:rPr>
                <w:rFonts w:hint="eastAsia" w:ascii="Times New Roman" w:hAnsi="Times New Roman" w:cs="Times New Roman" w:eastAsiaTheme="minorEastAsia"/>
                <w:kern w:val="2"/>
                <w:sz w:val="20"/>
                <w:szCs w:val="20"/>
                <w:lang w:val="en-US" w:eastAsia="zh-CN" w:bidi="ar-SA"/>
              </w:rPr>
            </w:pPr>
            <w:r>
              <w:rPr>
                <w:rFonts w:hint="eastAsia" w:ascii="Times New Roman" w:hAnsi="Times New Roman" w:cs="Times New Roman"/>
                <w:sz w:val="20"/>
                <w:szCs w:val="20"/>
              </w:rPr>
              <w:t>This type refers to videos in which no textual subtitles are provided and viewers can only access information through visual and auditory content.</w:t>
            </w:r>
          </w:p>
        </w:tc>
      </w:tr>
    </w:tbl>
    <w:p w14:paraId="1ED27F83">
      <w:pPr>
        <w:rPr>
          <w:rFonts w:hint="eastAsia" w:ascii="Times New Roman" w:hAnsi="Times New Roman" w:cs="Times New Roman"/>
          <w:sz w:val="20"/>
          <w:szCs w:val="20"/>
          <w:lang w:val="en-US" w:eastAsia="zh-CN"/>
        </w:rPr>
      </w:pPr>
    </w:p>
    <w:p w14:paraId="19D55953">
      <w:pPr>
        <w:widowControl/>
        <w:jc w:val="left"/>
        <w:rPr>
          <w:rFonts w:hint="eastAsia"/>
          <w:highlight w:val="yellow"/>
          <w:lang w:val="en-US" w:eastAsia="zh-CN"/>
        </w:rPr>
      </w:pPr>
    </w:p>
    <w:p w14:paraId="42D72C6D">
      <w:pP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Pr>
          <w:rFonts w:hint="eastAsia" w:ascii="Times New Roman" w:hAnsi="Times New Roman" w:cs="Times New Roman"/>
          <w:b/>
          <w:bCs/>
          <w:sz w:val="24"/>
          <w:szCs w:val="24"/>
          <w:lang w:val="en-US" w:eastAsia="zh-CN"/>
        </w:rPr>
        <w:t>T</w:t>
      </w:r>
      <w:r>
        <w:rPr>
          <w:rFonts w:ascii="Times New Roman" w:hAnsi="Times New Roman" w:cs="Times New Roman"/>
          <w:b/>
          <w:bCs/>
          <w:sz w:val="24"/>
          <w:szCs w:val="24"/>
        </w:rPr>
        <w:t xml:space="preserve">able </w:t>
      </w:r>
      <w:r>
        <w:rPr>
          <w:rFonts w:hint="eastAsia" w:ascii="Times New Roman" w:hAnsi="Times New Roman" w:cs="Times New Roman"/>
          <w:b/>
          <w:bCs/>
          <w:sz w:val="24"/>
          <w:szCs w:val="24"/>
          <w:lang w:val="en-US" w:eastAsia="zh-CN"/>
        </w:rPr>
        <w:t>4</w:t>
      </w:r>
      <w:r>
        <w:rPr>
          <w:rFonts w:ascii="Times New Roman" w:hAnsi="Times New Roman" w:cs="Times New Roman"/>
          <w:b/>
          <w:bCs/>
          <w:sz w:val="24"/>
          <w:szCs w:val="24"/>
        </w:rPr>
        <w:t>. Global Quality Score (GQS) scoring standard. (Scoring ranges from 1 to 5)</w:t>
      </w:r>
    </w:p>
    <w:p w14:paraId="55CBDE3A">
      <w:pPr>
        <w:widowControl/>
        <w:jc w:val="left"/>
        <w:rPr>
          <w:rFonts w:hint="eastAsia"/>
          <w:highlight w:val="yellow"/>
          <w:lang w:val="en-US" w:eastAsia="zh-CN"/>
        </w:rPr>
      </w:pPr>
    </w:p>
    <w:p w14:paraId="45F92684">
      <w:pPr>
        <w:rPr>
          <w:rFonts w:hint="default"/>
          <w:highlight w:val="yellow"/>
          <w:lang w:val="en-US" w:eastAsia="zh-CN"/>
        </w:rPr>
      </w:pPr>
    </w:p>
    <w:p w14:paraId="382B3907">
      <w:pPr>
        <w:rPr>
          <w:rFonts w:ascii="Times New Roman" w:hAnsi="Times New Roman" w:cs="Times New Roman"/>
          <w:b/>
          <w:bCs/>
          <w:sz w:val="24"/>
          <w:szCs w:val="24"/>
        </w:rPr>
      </w:pPr>
    </w:p>
    <w:tbl>
      <w:tblPr>
        <w:tblStyle w:val="3"/>
        <w:tblpPr w:leftFromText="180" w:rightFromText="180" w:vertAnchor="page" w:horzAnchor="page" w:tblpX="736" w:tblpY="12458"/>
        <w:tblW w:w="1067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52"/>
        <w:gridCol w:w="1019"/>
      </w:tblGrid>
      <w:tr w14:paraId="28C7C52A">
        <w:trPr>
          <w:trHeight w:val="343" w:hRule="atLeast"/>
        </w:trPr>
        <w:tc>
          <w:tcPr>
            <w:tcW w:w="9652" w:type="dxa"/>
            <w:tcBorders>
              <w:top w:val="single" w:color="auto" w:sz="12" w:space="0"/>
              <w:bottom w:val="single" w:color="auto" w:sz="6" w:space="0"/>
            </w:tcBorders>
            <w:noWrap/>
          </w:tcPr>
          <w:p w14:paraId="5A7758CD">
            <w:pPr>
              <w:rPr>
                <w:rFonts w:ascii="Times New Roman" w:hAnsi="Times New Roman" w:cs="Times New Roman"/>
                <w:b/>
                <w:bCs/>
                <w:sz w:val="20"/>
                <w:szCs w:val="20"/>
              </w:rPr>
            </w:pPr>
            <w:r>
              <w:rPr>
                <w:rFonts w:ascii="Times New Roman" w:hAnsi="Times New Roman" w:cs="Times New Roman"/>
                <w:b/>
                <w:bCs/>
                <w:sz w:val="20"/>
                <w:szCs w:val="20"/>
              </w:rPr>
              <w:t xml:space="preserve">GQS </w:t>
            </w:r>
            <w:r>
              <w:rPr>
                <w:rFonts w:hint="eastAsia" w:ascii="Times New Roman" w:hAnsi="Times New Roman" w:cs="Times New Roman"/>
                <w:b/>
                <w:bCs/>
                <w:sz w:val="20"/>
                <w:szCs w:val="20"/>
                <w:lang w:val="en-US" w:eastAsia="zh-CN"/>
              </w:rPr>
              <w:t>D</w:t>
            </w:r>
            <w:r>
              <w:rPr>
                <w:rFonts w:ascii="Times New Roman" w:hAnsi="Times New Roman" w:cs="Times New Roman"/>
                <w:b/>
                <w:bCs/>
                <w:sz w:val="20"/>
                <w:szCs w:val="20"/>
              </w:rPr>
              <w:t>escription</w:t>
            </w:r>
          </w:p>
        </w:tc>
        <w:tc>
          <w:tcPr>
            <w:tcW w:w="1019" w:type="dxa"/>
            <w:tcBorders>
              <w:top w:val="single" w:color="auto" w:sz="12" w:space="0"/>
              <w:bottom w:val="single" w:color="auto" w:sz="6" w:space="0"/>
            </w:tcBorders>
            <w:noWrap/>
          </w:tcPr>
          <w:p w14:paraId="2B45BE82">
            <w:pPr>
              <w:rPr>
                <w:rFonts w:ascii="Times New Roman" w:hAnsi="Times New Roman" w:cs="Times New Roman"/>
                <w:b/>
                <w:bCs/>
                <w:sz w:val="20"/>
                <w:szCs w:val="20"/>
              </w:rPr>
            </w:pPr>
            <w:r>
              <w:rPr>
                <w:rFonts w:ascii="Times New Roman" w:hAnsi="Times New Roman" w:cs="Times New Roman"/>
                <w:b/>
                <w:bCs/>
                <w:sz w:val="20"/>
                <w:szCs w:val="20"/>
              </w:rPr>
              <w:t>Score</w:t>
            </w:r>
          </w:p>
        </w:tc>
      </w:tr>
      <w:tr w14:paraId="797A82D9">
        <w:trPr>
          <w:trHeight w:val="610" w:hRule="atLeast"/>
        </w:trPr>
        <w:tc>
          <w:tcPr>
            <w:tcW w:w="9652" w:type="dxa"/>
            <w:tcBorders>
              <w:top w:val="single" w:color="auto" w:sz="6" w:space="0"/>
              <w:bottom w:val="nil"/>
            </w:tcBorders>
            <w:noWrap/>
          </w:tcPr>
          <w:p w14:paraId="286F840F">
            <w:pPr>
              <w:rPr>
                <w:rFonts w:ascii="Times New Roman" w:hAnsi="Times New Roman" w:cs="Times New Roman"/>
                <w:sz w:val="20"/>
                <w:szCs w:val="20"/>
              </w:rPr>
            </w:pPr>
            <w:r>
              <w:rPr>
                <w:rFonts w:ascii="Times New Roman" w:hAnsi="Times New Roman" w:cs="Times New Roman"/>
                <w:sz w:val="20"/>
                <w:szCs w:val="20"/>
              </w:rPr>
              <w:t>Poor quality, poor flow of the site, most information missing, not at all useful for patients</w:t>
            </w:r>
          </w:p>
        </w:tc>
        <w:tc>
          <w:tcPr>
            <w:tcW w:w="1019" w:type="dxa"/>
            <w:tcBorders>
              <w:top w:val="single" w:color="auto" w:sz="6" w:space="0"/>
              <w:bottom w:val="nil"/>
            </w:tcBorders>
            <w:noWrap/>
          </w:tcPr>
          <w:p w14:paraId="59065CDE">
            <w:pPr>
              <w:rPr>
                <w:rFonts w:ascii="Times New Roman" w:hAnsi="Times New Roman" w:cs="Times New Roman"/>
                <w:sz w:val="20"/>
                <w:szCs w:val="20"/>
              </w:rPr>
            </w:pPr>
            <w:r>
              <w:rPr>
                <w:rFonts w:ascii="Times New Roman" w:hAnsi="Times New Roman" w:cs="Times New Roman"/>
                <w:sz w:val="20"/>
                <w:szCs w:val="20"/>
              </w:rPr>
              <w:t>1</w:t>
            </w:r>
          </w:p>
        </w:tc>
      </w:tr>
      <w:tr w14:paraId="2CE8F9DF">
        <w:trPr>
          <w:trHeight w:val="593" w:hRule="atLeast"/>
        </w:trPr>
        <w:tc>
          <w:tcPr>
            <w:tcW w:w="9652" w:type="dxa"/>
            <w:tcBorders>
              <w:top w:val="nil"/>
              <w:bottom w:val="nil"/>
            </w:tcBorders>
            <w:noWrap/>
          </w:tcPr>
          <w:p w14:paraId="284C0085">
            <w:pPr>
              <w:rPr>
                <w:rFonts w:ascii="Times New Roman" w:hAnsi="Times New Roman" w:cs="Times New Roman"/>
                <w:sz w:val="20"/>
                <w:szCs w:val="20"/>
              </w:rPr>
            </w:pPr>
            <w:r>
              <w:rPr>
                <w:rFonts w:ascii="Times New Roman" w:hAnsi="Times New Roman" w:cs="Times New Roman"/>
                <w:sz w:val="20"/>
                <w:szCs w:val="20"/>
              </w:rPr>
              <w:t xml:space="preserve">Generally poor quality and poor flow, some information listed but many important topics missing, of very limited use to patients </w:t>
            </w:r>
          </w:p>
        </w:tc>
        <w:tc>
          <w:tcPr>
            <w:tcW w:w="1019" w:type="dxa"/>
            <w:tcBorders>
              <w:top w:val="nil"/>
              <w:bottom w:val="nil"/>
            </w:tcBorders>
            <w:noWrap/>
          </w:tcPr>
          <w:p w14:paraId="28F59882">
            <w:pPr>
              <w:rPr>
                <w:rFonts w:ascii="Times New Roman" w:hAnsi="Times New Roman" w:cs="Times New Roman"/>
                <w:sz w:val="20"/>
                <w:szCs w:val="20"/>
              </w:rPr>
            </w:pPr>
            <w:r>
              <w:rPr>
                <w:rFonts w:ascii="Times New Roman" w:hAnsi="Times New Roman" w:cs="Times New Roman"/>
                <w:sz w:val="20"/>
                <w:szCs w:val="20"/>
              </w:rPr>
              <w:t>2</w:t>
            </w:r>
          </w:p>
        </w:tc>
      </w:tr>
      <w:tr w14:paraId="50ADB873">
        <w:trPr>
          <w:trHeight w:val="679" w:hRule="atLeast"/>
        </w:trPr>
        <w:tc>
          <w:tcPr>
            <w:tcW w:w="9652" w:type="dxa"/>
            <w:tcBorders>
              <w:top w:val="nil"/>
              <w:bottom w:val="nil"/>
            </w:tcBorders>
            <w:noWrap/>
          </w:tcPr>
          <w:p w14:paraId="67ADC87C">
            <w:pPr>
              <w:rPr>
                <w:rFonts w:ascii="Times New Roman" w:hAnsi="Times New Roman" w:cs="Times New Roman"/>
                <w:sz w:val="20"/>
                <w:szCs w:val="20"/>
              </w:rPr>
            </w:pPr>
            <w:r>
              <w:rPr>
                <w:rFonts w:ascii="Times New Roman" w:hAnsi="Times New Roman" w:cs="Times New Roman"/>
                <w:sz w:val="20"/>
                <w:szCs w:val="20"/>
              </w:rPr>
              <w:t xml:space="preserve">Moderate quality, suboptimal flow, some important information is adequately discussed but others poorly discussed, somewhat useful for patients </w:t>
            </w:r>
          </w:p>
        </w:tc>
        <w:tc>
          <w:tcPr>
            <w:tcW w:w="1019" w:type="dxa"/>
            <w:tcBorders>
              <w:top w:val="nil"/>
              <w:bottom w:val="nil"/>
            </w:tcBorders>
            <w:noWrap/>
          </w:tcPr>
          <w:p w14:paraId="32B9A46B">
            <w:pPr>
              <w:rPr>
                <w:rFonts w:ascii="Times New Roman" w:hAnsi="Times New Roman" w:cs="Times New Roman"/>
                <w:sz w:val="20"/>
                <w:szCs w:val="20"/>
              </w:rPr>
            </w:pPr>
            <w:r>
              <w:rPr>
                <w:rFonts w:ascii="Times New Roman" w:hAnsi="Times New Roman" w:cs="Times New Roman"/>
                <w:sz w:val="20"/>
                <w:szCs w:val="20"/>
              </w:rPr>
              <w:t>3</w:t>
            </w:r>
          </w:p>
        </w:tc>
      </w:tr>
      <w:tr w14:paraId="6CCF83A5">
        <w:trPr>
          <w:trHeight w:val="0" w:hRule="atLeast"/>
        </w:trPr>
        <w:tc>
          <w:tcPr>
            <w:tcW w:w="9652" w:type="dxa"/>
            <w:tcBorders>
              <w:top w:val="nil"/>
              <w:bottom w:val="nil"/>
            </w:tcBorders>
            <w:noWrap/>
            <w:vAlign w:val="top"/>
          </w:tcPr>
          <w:p w14:paraId="046F5FE7">
            <w:pPr>
              <w:rPr>
                <w:rFonts w:ascii="Times New Roman" w:hAnsi="Times New Roman" w:cs="Times New Roman"/>
                <w:sz w:val="20"/>
                <w:szCs w:val="20"/>
              </w:rPr>
            </w:pPr>
            <w:r>
              <w:rPr>
                <w:rFonts w:ascii="Times New Roman" w:hAnsi="Times New Roman" w:cs="Times New Roman"/>
                <w:sz w:val="20"/>
                <w:szCs w:val="20"/>
              </w:rPr>
              <w:t xml:space="preserve">Good quality and generally good flow, most of the relevant information is listed, but some topics not covered, useful for patients </w:t>
            </w:r>
          </w:p>
        </w:tc>
        <w:tc>
          <w:tcPr>
            <w:tcW w:w="1019" w:type="dxa"/>
            <w:tcBorders>
              <w:top w:val="nil"/>
              <w:bottom w:val="nil"/>
            </w:tcBorders>
            <w:noWrap/>
          </w:tcPr>
          <w:p w14:paraId="3B27BE27">
            <w:pPr>
              <w:rPr>
                <w:rFonts w:ascii="Times New Roman" w:hAnsi="Times New Roman" w:cs="Times New Roman"/>
                <w:sz w:val="20"/>
                <w:szCs w:val="20"/>
              </w:rPr>
            </w:pPr>
            <w:r>
              <w:rPr>
                <w:rFonts w:ascii="Times New Roman" w:hAnsi="Times New Roman" w:cs="Times New Roman"/>
                <w:sz w:val="20"/>
                <w:szCs w:val="20"/>
              </w:rPr>
              <w:t>4</w:t>
            </w:r>
          </w:p>
        </w:tc>
      </w:tr>
      <w:tr w14:paraId="3DE7E0B7">
        <w:trPr>
          <w:trHeight w:val="626" w:hRule="atLeast"/>
        </w:trPr>
        <w:tc>
          <w:tcPr>
            <w:tcW w:w="9652" w:type="dxa"/>
            <w:tcBorders>
              <w:top w:val="nil"/>
              <w:bottom w:val="single" w:color="auto" w:sz="12" w:space="0"/>
            </w:tcBorders>
            <w:noWrap/>
          </w:tcPr>
          <w:p w14:paraId="658EDA92">
            <w:pPr>
              <w:rPr>
                <w:rFonts w:ascii="Times New Roman" w:hAnsi="Times New Roman" w:cs="Times New Roman"/>
                <w:sz w:val="20"/>
                <w:szCs w:val="20"/>
              </w:rPr>
            </w:pPr>
            <w:r>
              <w:rPr>
                <w:rFonts w:ascii="Times New Roman" w:hAnsi="Times New Roman" w:cs="Times New Roman"/>
                <w:sz w:val="20"/>
                <w:szCs w:val="20"/>
              </w:rPr>
              <w:t xml:space="preserve">Excellent quality and excellent flow, very useful for patients </w:t>
            </w:r>
          </w:p>
        </w:tc>
        <w:tc>
          <w:tcPr>
            <w:tcW w:w="1019" w:type="dxa"/>
            <w:tcBorders>
              <w:top w:val="nil"/>
              <w:bottom w:val="single" w:color="auto" w:sz="12" w:space="0"/>
            </w:tcBorders>
            <w:noWrap/>
          </w:tcPr>
          <w:p w14:paraId="11C8843F">
            <w:pPr>
              <w:rPr>
                <w:rFonts w:ascii="Times New Roman" w:hAnsi="Times New Roman" w:cs="Times New Roman"/>
                <w:sz w:val="20"/>
                <w:szCs w:val="20"/>
              </w:rPr>
            </w:pPr>
            <w:r>
              <w:rPr>
                <w:rFonts w:ascii="Times New Roman" w:hAnsi="Times New Roman" w:cs="Times New Roman"/>
                <w:sz w:val="20"/>
                <w:szCs w:val="20"/>
              </w:rPr>
              <w:t>5</w:t>
            </w:r>
          </w:p>
        </w:tc>
      </w:tr>
    </w:tbl>
    <w:p w14:paraId="1C2F2E0D">
      <w:pPr>
        <w:rPr>
          <w:rFonts w:ascii="Times New Roman" w:hAnsi="Times New Roman" w:cs="Times New Roman"/>
          <w:b/>
          <w:bCs/>
          <w:sz w:val="24"/>
          <w:szCs w:val="24"/>
        </w:rPr>
      </w:pPr>
    </w:p>
    <w:p w14:paraId="5EF84BE3">
      <w:pPr>
        <w:rPr>
          <w:rFonts w:ascii="Times New Roman" w:hAnsi="Times New Roman" w:cs="Times New Roman"/>
          <w:b/>
          <w:bCs/>
          <w:sz w:val="24"/>
          <w:szCs w:val="24"/>
        </w:rPr>
      </w:pPr>
    </w:p>
    <w:p w14:paraId="5840BD10">
      <w:pPr>
        <w:rPr>
          <w:rFonts w:ascii="Times New Roman" w:hAnsi="Times New Roman" w:cs="Times New Roman"/>
          <w:b/>
          <w:bCs/>
          <w:sz w:val="24"/>
          <w:szCs w:val="24"/>
        </w:rPr>
      </w:pPr>
    </w:p>
    <w:p w14:paraId="050D447C">
      <w:pPr>
        <w:rPr>
          <w:rFonts w:hint="eastAsia" w:ascii="Times New Roman" w:hAnsi="Times New Roman" w:cs="Times New Roman"/>
          <w:sz w:val="20"/>
          <w:szCs w:val="20"/>
          <w:lang w:val="en-US" w:eastAsia="zh-CN"/>
        </w:rPr>
      </w:pPr>
    </w:p>
    <w:p w14:paraId="428ACF4A">
      <w:pPr>
        <w:rPr>
          <w:rFonts w:hint="eastAsia" w:ascii="Times New Roman" w:hAnsi="Times New Roman" w:cs="Times New Roman"/>
          <w:sz w:val="20"/>
          <w:szCs w:val="20"/>
          <w:lang w:val="en-US" w:eastAsia="zh-CN"/>
        </w:rPr>
      </w:pPr>
      <w:r>
        <w:rPr>
          <w:rFonts w:ascii="Times New Roman" w:hAnsi="Times New Roman" w:cs="Times New Roman"/>
          <w:b/>
          <w:bCs/>
          <w:sz w:val="24"/>
          <w:szCs w:val="24"/>
        </w:rPr>
        <w:t xml:space="preserve">Supplementary </w:t>
      </w:r>
      <w:r>
        <w:rPr>
          <w:rFonts w:hint="eastAsia" w:ascii="Times New Roman" w:hAnsi="Times New Roman" w:cs="Times New Roman"/>
          <w:b/>
          <w:bCs/>
          <w:sz w:val="24"/>
          <w:szCs w:val="24"/>
          <w:lang w:val="en-US" w:eastAsia="zh-CN"/>
        </w:rPr>
        <w:t>T</w:t>
      </w:r>
      <w:r>
        <w:rPr>
          <w:rFonts w:ascii="Times New Roman" w:hAnsi="Times New Roman" w:cs="Times New Roman"/>
          <w:b/>
          <w:bCs/>
          <w:sz w:val="24"/>
          <w:szCs w:val="24"/>
        </w:rPr>
        <w:t xml:space="preserve">able </w:t>
      </w:r>
      <w:r>
        <w:rPr>
          <w:rFonts w:hint="eastAsia" w:ascii="Times New Roman" w:hAnsi="Times New Roman" w:cs="Times New Roman"/>
          <w:b/>
          <w:bCs/>
          <w:sz w:val="24"/>
          <w:szCs w:val="24"/>
          <w:lang w:val="en-US" w:eastAsia="zh-CN"/>
        </w:rPr>
        <w:t>5</w:t>
      </w:r>
      <w:r>
        <w:rPr>
          <w:rFonts w:ascii="Times New Roman" w:hAnsi="Times New Roman" w:cs="Times New Roman"/>
          <w:b/>
          <w:bCs/>
          <w:sz w:val="24"/>
          <w:szCs w:val="24"/>
        </w:rPr>
        <w:t>. Modified DISCERN (mDISCERN) scoring standard. (1 point for answer ‘yes’, 0 point for answer ‘no’)</w:t>
      </w:r>
    </w:p>
    <w:p w14:paraId="2A6B85AC">
      <w:pPr>
        <w:rPr>
          <w:rFonts w:hint="eastAsia" w:ascii="Times New Roman" w:hAnsi="Times New Roman" w:cs="Times New Roman"/>
          <w:sz w:val="20"/>
          <w:szCs w:val="20"/>
          <w:lang w:val="en-US" w:eastAsia="zh-CN"/>
        </w:rPr>
      </w:pPr>
    </w:p>
    <w:tbl>
      <w:tblPr>
        <w:tblStyle w:val="3"/>
        <w:tblW w:w="1066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55"/>
        <w:gridCol w:w="1008"/>
      </w:tblGrid>
      <w:tr w14:paraId="6D34CBFD">
        <w:trPr>
          <w:trHeight w:val="521" w:hRule="atLeast"/>
        </w:trPr>
        <w:tc>
          <w:tcPr>
            <w:tcW w:w="9655" w:type="dxa"/>
            <w:tcBorders>
              <w:top w:val="single" w:color="auto" w:sz="12" w:space="0"/>
              <w:bottom w:val="single" w:color="auto" w:sz="6" w:space="0"/>
            </w:tcBorders>
            <w:noWrap/>
            <w:vAlign w:val="center"/>
          </w:tcPr>
          <w:p w14:paraId="315559BF">
            <w:pPr>
              <w:jc w:val="both"/>
              <w:rPr>
                <w:rFonts w:ascii="Times New Roman" w:hAnsi="Times New Roman" w:cs="Times New Roman"/>
                <w:sz w:val="20"/>
                <w:szCs w:val="20"/>
              </w:rPr>
            </w:pPr>
            <w:r>
              <w:rPr>
                <w:rFonts w:ascii="Times New Roman" w:hAnsi="Times New Roman" w:cs="Times New Roman"/>
                <w:b/>
                <w:bCs/>
                <w:sz w:val="20"/>
                <w:szCs w:val="20"/>
              </w:rPr>
              <w:t>Reliability Score</w:t>
            </w:r>
          </w:p>
        </w:tc>
        <w:tc>
          <w:tcPr>
            <w:tcW w:w="1008" w:type="dxa"/>
            <w:tcBorders>
              <w:top w:val="single" w:color="auto" w:sz="12" w:space="0"/>
              <w:bottom w:val="single" w:color="auto" w:sz="6" w:space="0"/>
            </w:tcBorders>
            <w:shd w:val="clear" w:color="auto" w:fill="FFFFFF"/>
            <w:noWrap/>
            <w:vAlign w:val="center"/>
          </w:tcPr>
          <w:p w14:paraId="69A44183">
            <w:pPr>
              <w:keepNext w:val="0"/>
              <w:keepLines w:val="0"/>
              <w:widowControl/>
              <w:suppressLineNumbers w:val="0"/>
              <w:jc w:val="left"/>
              <w:textAlignment w:val="center"/>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Bold" w:hAnsi="Times New Roman Bold" w:eastAsia="宋体" w:cs="Times New Roman Bold"/>
                <w:b/>
                <w:bCs/>
                <w:i w:val="0"/>
                <w:iCs w:val="0"/>
                <w:color w:val="000000"/>
                <w:kern w:val="0"/>
                <w:sz w:val="20"/>
                <w:szCs w:val="20"/>
                <w:u w:val="none"/>
                <w:lang w:val="en-US" w:eastAsia="zh-CN" w:bidi="ar"/>
              </w:rPr>
              <w:t>Score</w:t>
            </w:r>
          </w:p>
        </w:tc>
      </w:tr>
      <w:tr w14:paraId="60576A22">
        <w:trPr>
          <w:trHeight w:val="0" w:hRule="atLeast"/>
        </w:trPr>
        <w:tc>
          <w:tcPr>
            <w:tcW w:w="9655" w:type="dxa"/>
            <w:tcBorders>
              <w:top w:val="single" w:color="auto" w:sz="6" w:space="0"/>
              <w:bottom w:val="nil"/>
            </w:tcBorders>
            <w:noWrap/>
            <w:vAlign w:val="top"/>
          </w:tcPr>
          <w:p w14:paraId="70F4C96C">
            <w:pPr>
              <w:rPr>
                <w:rFonts w:ascii="Times New Roman" w:hAnsi="Times New Roman" w:cs="Times New Roman"/>
                <w:sz w:val="20"/>
                <w:szCs w:val="20"/>
              </w:rPr>
            </w:pPr>
            <w:r>
              <w:rPr>
                <w:rFonts w:ascii="Times New Roman" w:hAnsi="Times New Roman" w:cs="Times New Roman"/>
                <w:sz w:val="20"/>
                <w:szCs w:val="20"/>
              </w:rPr>
              <w:t>1. Is the video clear, concise, and understandable?</w:t>
            </w:r>
          </w:p>
        </w:tc>
        <w:tc>
          <w:tcPr>
            <w:tcW w:w="1008" w:type="dxa"/>
            <w:tcBorders>
              <w:top w:val="single" w:color="auto" w:sz="6" w:space="0"/>
              <w:bottom w:val="nil"/>
            </w:tcBorders>
            <w:shd w:val="clear" w:color="auto" w:fill="FFFFFF"/>
            <w:noWrap/>
            <w:vAlign w:val="center"/>
          </w:tcPr>
          <w:p w14:paraId="2BE0C357">
            <w:pPr>
              <w:keepNext w:val="0"/>
              <w:keepLines w:val="0"/>
              <w:widowControl/>
              <w:suppressLineNumbers w:val="0"/>
              <w:jc w:val="left"/>
              <w:textAlignment w:val="center"/>
              <w:rPr>
                <w:rFonts w:hint="default" w:ascii="Times New Roman" w:hAnsi="Times New Roman" w:eastAsia="宋体" w:cs="Times New Roman"/>
                <w:b w:val="0"/>
                <w:i w:val="0"/>
                <w:iCs w:val="0"/>
                <w:color w:val="000000"/>
                <w:kern w:val="2"/>
                <w:sz w:val="20"/>
                <w:szCs w:val="20"/>
                <w:u w:val="none"/>
                <w:lang w:val="en-US" w:eastAsia="zh-CN" w:bidi="ar-SA"/>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0306A12C">
        <w:trPr>
          <w:trHeight w:val="521" w:hRule="atLeast"/>
        </w:trPr>
        <w:tc>
          <w:tcPr>
            <w:tcW w:w="9655" w:type="dxa"/>
            <w:tcBorders>
              <w:top w:val="nil"/>
              <w:bottom w:val="nil"/>
            </w:tcBorders>
            <w:noWrap/>
          </w:tcPr>
          <w:p w14:paraId="18439443">
            <w:pPr>
              <w:rPr>
                <w:rFonts w:ascii="Times New Roman" w:hAnsi="Times New Roman" w:cs="Times New Roman"/>
                <w:sz w:val="20"/>
                <w:szCs w:val="20"/>
              </w:rPr>
            </w:pPr>
            <w:r>
              <w:rPr>
                <w:rFonts w:ascii="Times New Roman" w:hAnsi="Times New Roman" w:cs="Times New Roman"/>
                <w:sz w:val="20"/>
                <w:szCs w:val="20"/>
              </w:rPr>
              <w:t>2. Are valid sources cited?</w:t>
            </w:r>
          </w:p>
        </w:tc>
        <w:tc>
          <w:tcPr>
            <w:tcW w:w="1008" w:type="dxa"/>
            <w:tcBorders>
              <w:top w:val="nil"/>
              <w:bottom w:val="nil"/>
            </w:tcBorders>
            <w:shd w:val="clear" w:color="auto" w:fill="FFFFFF"/>
            <w:noWrap/>
            <w:vAlign w:val="center"/>
          </w:tcPr>
          <w:p w14:paraId="07B0B595">
            <w:pPr>
              <w:keepNext w:val="0"/>
              <w:keepLines w:val="0"/>
              <w:widowControl/>
              <w:suppressLineNumbers w:val="0"/>
              <w:jc w:val="left"/>
              <w:textAlignment w:val="center"/>
              <w:rPr>
                <w:rFonts w:hint="default" w:ascii="Times New Roman" w:hAnsi="Times New Roman" w:eastAsia="宋体" w:cs="Times New Roman"/>
                <w:b w:val="0"/>
                <w:i w:val="0"/>
                <w:iCs w:val="0"/>
                <w:color w:val="000000"/>
                <w:kern w:val="2"/>
                <w:sz w:val="20"/>
                <w:szCs w:val="20"/>
                <w:u w:val="none"/>
                <w:lang w:val="en-US" w:eastAsia="zh-CN" w:bidi="ar-SA"/>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2C72F18C">
        <w:trPr>
          <w:trHeight w:val="521" w:hRule="atLeast"/>
        </w:trPr>
        <w:tc>
          <w:tcPr>
            <w:tcW w:w="9655" w:type="dxa"/>
            <w:tcBorders>
              <w:top w:val="nil"/>
              <w:bottom w:val="nil"/>
            </w:tcBorders>
            <w:noWrap/>
          </w:tcPr>
          <w:p w14:paraId="69708F39">
            <w:pPr>
              <w:rPr>
                <w:rFonts w:ascii="Times New Roman" w:hAnsi="Times New Roman" w:cs="Times New Roman"/>
                <w:sz w:val="20"/>
                <w:szCs w:val="20"/>
              </w:rPr>
            </w:pPr>
            <w:r>
              <w:rPr>
                <w:rFonts w:ascii="Times New Roman" w:hAnsi="Times New Roman" w:cs="Times New Roman"/>
                <w:sz w:val="20"/>
                <w:szCs w:val="20"/>
              </w:rPr>
              <w:t>3. Is the content presented balanced and unbiased?</w:t>
            </w:r>
          </w:p>
        </w:tc>
        <w:tc>
          <w:tcPr>
            <w:tcW w:w="1008" w:type="dxa"/>
            <w:tcBorders>
              <w:top w:val="nil"/>
              <w:bottom w:val="nil"/>
            </w:tcBorders>
            <w:shd w:val="clear" w:color="auto" w:fill="FFFFFF"/>
            <w:noWrap/>
            <w:vAlign w:val="center"/>
          </w:tcPr>
          <w:p w14:paraId="3F32C830">
            <w:pPr>
              <w:keepNext w:val="0"/>
              <w:keepLines w:val="0"/>
              <w:widowControl/>
              <w:suppressLineNumbers w:val="0"/>
              <w:jc w:val="left"/>
              <w:textAlignment w:val="center"/>
              <w:rPr>
                <w:rFonts w:hint="default" w:ascii="Times New Roman" w:hAnsi="Times New Roman" w:eastAsia="宋体" w:cs="Times New Roman"/>
                <w:b w:val="0"/>
                <w:i w:val="0"/>
                <w:iCs w:val="0"/>
                <w:color w:val="000000"/>
                <w:kern w:val="2"/>
                <w:sz w:val="20"/>
                <w:szCs w:val="20"/>
                <w:u w:val="none"/>
                <w:lang w:val="en-US" w:eastAsia="zh-CN" w:bidi="ar-SA"/>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1FB39467">
        <w:trPr>
          <w:trHeight w:val="521" w:hRule="atLeast"/>
        </w:trPr>
        <w:tc>
          <w:tcPr>
            <w:tcW w:w="9655" w:type="dxa"/>
            <w:tcBorders>
              <w:top w:val="nil"/>
              <w:bottom w:val="nil"/>
            </w:tcBorders>
            <w:noWrap/>
          </w:tcPr>
          <w:p w14:paraId="2647DBB9">
            <w:pPr>
              <w:rPr>
                <w:rFonts w:ascii="Times New Roman" w:hAnsi="Times New Roman" w:cs="Times New Roman"/>
                <w:sz w:val="20"/>
                <w:szCs w:val="20"/>
              </w:rPr>
            </w:pPr>
            <w:bookmarkStart w:id="0" w:name="RANGE!A6"/>
            <w:r>
              <w:rPr>
                <w:rFonts w:ascii="Times New Roman" w:hAnsi="Times New Roman" w:cs="Times New Roman"/>
                <w:sz w:val="20"/>
                <w:szCs w:val="20"/>
              </w:rPr>
              <w:t>4. Are additional sources of content listed for patient reference?</w:t>
            </w:r>
            <w:bookmarkEnd w:id="0"/>
          </w:p>
        </w:tc>
        <w:tc>
          <w:tcPr>
            <w:tcW w:w="1008" w:type="dxa"/>
            <w:tcBorders>
              <w:top w:val="nil"/>
              <w:bottom w:val="nil"/>
            </w:tcBorders>
            <w:shd w:val="clear" w:color="auto" w:fill="FFFFFF"/>
            <w:noWrap/>
            <w:vAlign w:val="center"/>
          </w:tcPr>
          <w:p w14:paraId="0D24D77F">
            <w:pPr>
              <w:keepNext w:val="0"/>
              <w:keepLines w:val="0"/>
              <w:widowControl/>
              <w:suppressLineNumbers w:val="0"/>
              <w:jc w:val="left"/>
              <w:textAlignment w:val="center"/>
              <w:rPr>
                <w:rFonts w:hint="default" w:ascii="Times New Roman" w:hAnsi="Times New Roman" w:eastAsia="宋体" w:cs="Times New Roman"/>
                <w:b w:val="0"/>
                <w:i w:val="0"/>
                <w:iCs w:val="0"/>
                <w:color w:val="000000"/>
                <w:kern w:val="2"/>
                <w:sz w:val="20"/>
                <w:szCs w:val="20"/>
                <w:u w:val="none"/>
                <w:lang w:val="en-US" w:eastAsia="zh-CN" w:bidi="ar-SA"/>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6F799C3D">
        <w:trPr>
          <w:trHeight w:val="521" w:hRule="atLeast"/>
        </w:trPr>
        <w:tc>
          <w:tcPr>
            <w:tcW w:w="9655" w:type="dxa"/>
            <w:tcBorders>
              <w:top w:val="nil"/>
              <w:bottom w:val="single" w:color="auto" w:sz="12" w:space="0"/>
            </w:tcBorders>
            <w:noWrap/>
          </w:tcPr>
          <w:p w14:paraId="3453E40F">
            <w:pPr>
              <w:rPr>
                <w:rFonts w:ascii="Times New Roman" w:hAnsi="Times New Roman" w:cs="Times New Roman"/>
                <w:sz w:val="20"/>
                <w:szCs w:val="20"/>
              </w:rPr>
            </w:pPr>
            <w:r>
              <w:rPr>
                <w:rFonts w:ascii="Times New Roman" w:hAnsi="Times New Roman" w:cs="Times New Roman"/>
                <w:sz w:val="20"/>
                <w:szCs w:val="20"/>
              </w:rPr>
              <w:t>5. Are areas of uncertainty mentioned?</w:t>
            </w:r>
          </w:p>
        </w:tc>
        <w:tc>
          <w:tcPr>
            <w:tcW w:w="1008" w:type="dxa"/>
            <w:tcBorders>
              <w:top w:val="nil"/>
              <w:bottom w:val="single" w:color="auto" w:sz="12" w:space="0"/>
            </w:tcBorders>
            <w:shd w:val="clear" w:color="auto" w:fill="auto"/>
            <w:noWrap/>
            <w:vAlign w:val="top"/>
          </w:tcPr>
          <w:p w14:paraId="2A03724B">
            <w:pPr>
              <w:rPr>
                <w:rFonts w:ascii="Times New Roman" w:hAnsi="Times New Roman" w:cs="Times New Roman"/>
                <w:sz w:val="20"/>
                <w:szCs w:val="20"/>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bl>
    <w:p w14:paraId="76E71BD5">
      <w:pPr>
        <w:rPr>
          <w:rFonts w:hint="eastAsia" w:ascii="Times New Roman" w:hAnsi="Times New Roman" w:cs="Times New Roman"/>
          <w:sz w:val="20"/>
          <w:szCs w:val="20"/>
          <w:lang w:val="en-US" w:eastAsia="zh-CN"/>
        </w:rPr>
      </w:pPr>
    </w:p>
    <w:p w14:paraId="61A7A6DF">
      <w:pPr>
        <w:rPr>
          <w:rFonts w:hint="eastAsia" w:ascii="Times New Roman" w:hAnsi="Times New Roman" w:cs="Times New Roman"/>
          <w:sz w:val="20"/>
          <w:szCs w:val="20"/>
          <w:lang w:val="en-US" w:eastAsia="zh-CN"/>
        </w:rPr>
      </w:pPr>
    </w:p>
    <w:p w14:paraId="4470CD94">
      <w:pPr>
        <w:rPr>
          <w:rFonts w:hint="eastAsia" w:ascii="Times New Roman" w:hAnsi="Times New Roman" w:cs="Times New Roman"/>
          <w:sz w:val="20"/>
          <w:szCs w:val="20"/>
          <w:lang w:val="en-US" w:eastAsia="zh-CN"/>
        </w:rPr>
      </w:pPr>
    </w:p>
    <w:p w14:paraId="49053F4C">
      <w:pP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Pr>
          <w:rFonts w:hint="eastAsia" w:ascii="Times New Roman" w:hAnsi="Times New Roman" w:cs="Times New Roman"/>
          <w:b/>
          <w:bCs/>
          <w:sz w:val="24"/>
          <w:szCs w:val="24"/>
          <w:lang w:val="en-US" w:eastAsia="zh-CN"/>
        </w:rPr>
        <w:t>T</w:t>
      </w:r>
      <w:r>
        <w:rPr>
          <w:rFonts w:ascii="Times New Roman" w:hAnsi="Times New Roman" w:cs="Times New Roman"/>
          <w:b/>
          <w:bCs/>
          <w:sz w:val="24"/>
          <w:szCs w:val="24"/>
        </w:rPr>
        <w:t xml:space="preserve">able </w:t>
      </w:r>
      <w:r>
        <w:rPr>
          <w:rFonts w:hint="eastAsia" w:ascii="Times New Roman" w:hAnsi="Times New Roman" w:cs="Times New Roman"/>
          <w:b/>
          <w:bCs/>
          <w:sz w:val="24"/>
          <w:szCs w:val="24"/>
          <w:lang w:val="en-US" w:eastAsia="zh-CN"/>
        </w:rPr>
        <w:t>6</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US" w:eastAsia="zh-CN"/>
        </w:rPr>
        <w:t xml:space="preserve">JAMA </w:t>
      </w:r>
      <w:bookmarkStart w:id="1" w:name="OLE_LINK11"/>
      <w:r>
        <w:rPr>
          <w:rFonts w:hint="eastAsia" w:ascii="Times New Roman" w:hAnsi="Times New Roman" w:cs="Times New Roman"/>
          <w:b/>
          <w:bCs/>
          <w:sz w:val="24"/>
          <w:szCs w:val="24"/>
          <w:lang w:val="en-US" w:eastAsia="zh-CN"/>
        </w:rPr>
        <w:t>Benchmark criteria</w:t>
      </w:r>
      <w:bookmarkEnd w:id="1"/>
      <w:r>
        <w:rPr>
          <w:rFonts w:ascii="Times New Roman" w:hAnsi="Times New Roman" w:cs="Times New Roman"/>
          <w:b/>
          <w:bCs/>
          <w:sz w:val="24"/>
          <w:szCs w:val="24"/>
        </w:rPr>
        <w:t>. (1 point for answer ‘yes’, 0 point for answer ‘no’)</w:t>
      </w:r>
    </w:p>
    <w:p w14:paraId="6F21BBD0">
      <w:pPr>
        <w:rPr>
          <w:rFonts w:hint="eastAsia" w:ascii="Times New Roman" w:hAnsi="Times New Roman" w:cs="Times New Roman"/>
          <w:sz w:val="20"/>
          <w:szCs w:val="20"/>
          <w:lang w:val="en-US" w:eastAsia="zh-CN"/>
        </w:rPr>
      </w:pPr>
    </w:p>
    <w:tbl>
      <w:tblPr>
        <w:tblStyle w:val="2"/>
        <w:tblW w:w="10676" w:type="dxa"/>
        <w:tblInd w:w="-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34"/>
        <w:gridCol w:w="7751"/>
        <w:gridCol w:w="991"/>
      </w:tblGrid>
      <w:tr w14:paraId="6D2B6C59">
        <w:trPr>
          <w:trHeight w:val="631" w:hRule="atLeast"/>
        </w:trPr>
        <w:tc>
          <w:tcPr>
            <w:tcW w:w="1934" w:type="dxa"/>
            <w:tcBorders>
              <w:top w:val="single" w:color="auto" w:sz="12" w:space="0"/>
              <w:left w:val="nil"/>
              <w:bottom w:val="single" w:color="auto" w:sz="4" w:space="0"/>
              <w:right w:val="nil"/>
            </w:tcBorders>
            <w:shd w:val="clear" w:color="auto" w:fill="auto"/>
            <w:noWrap/>
            <w:vAlign w:val="center"/>
          </w:tcPr>
          <w:p w14:paraId="21642475">
            <w:pPr>
              <w:jc w:val="both"/>
              <w:rPr>
                <w:rFonts w:hint="default" w:ascii="Times New Roman Bold" w:hAnsi="Times New Roman Bold" w:cs="Times New Roman Bold"/>
                <w:b/>
                <w:bCs/>
                <w:sz w:val="20"/>
                <w:szCs w:val="20"/>
                <w:lang w:val="en-US" w:eastAsia="zh-CN"/>
              </w:rPr>
            </w:pPr>
            <w:r>
              <w:rPr>
                <w:rFonts w:hint="default" w:ascii="Times New Roman Bold" w:hAnsi="Times New Roman Bold" w:cs="Times New Roman Bold"/>
                <w:b/>
                <w:bCs/>
                <w:sz w:val="20"/>
                <w:szCs w:val="20"/>
                <w:lang w:val="en-US" w:eastAsia="zh-CN"/>
              </w:rPr>
              <w:t>JAMA Benchmarks</w:t>
            </w:r>
          </w:p>
        </w:tc>
        <w:tc>
          <w:tcPr>
            <w:tcW w:w="7751" w:type="dxa"/>
            <w:tcBorders>
              <w:top w:val="single" w:color="auto" w:sz="12" w:space="0"/>
              <w:left w:val="nil"/>
              <w:bottom w:val="single" w:color="auto" w:sz="4" w:space="0"/>
              <w:right w:val="nil"/>
            </w:tcBorders>
            <w:shd w:val="clear" w:color="auto" w:fill="auto"/>
            <w:vAlign w:val="center"/>
          </w:tcPr>
          <w:p w14:paraId="70DC20C3">
            <w:pPr>
              <w:jc w:val="both"/>
              <w:rPr>
                <w:rFonts w:hint="default" w:ascii="Times New Roman Bold" w:hAnsi="Times New Roman Bold" w:cs="Times New Roman Bold"/>
                <w:b/>
                <w:bCs/>
                <w:sz w:val="20"/>
                <w:szCs w:val="20"/>
                <w:lang w:val="en-US" w:eastAsia="zh-CN"/>
              </w:rPr>
            </w:pPr>
            <w:r>
              <w:rPr>
                <w:rFonts w:hint="default" w:ascii="Times New Roman Bold" w:hAnsi="Times New Roman Bold" w:cs="Times New Roman Bold"/>
                <w:b/>
                <w:bCs/>
                <w:sz w:val="20"/>
                <w:szCs w:val="20"/>
                <w:lang w:val="en-US" w:eastAsia="zh-CN"/>
              </w:rPr>
              <w:t>Explanation</w:t>
            </w:r>
          </w:p>
        </w:tc>
        <w:tc>
          <w:tcPr>
            <w:tcW w:w="991" w:type="dxa"/>
            <w:tcBorders>
              <w:top w:val="single" w:color="auto" w:sz="12" w:space="0"/>
              <w:left w:val="nil"/>
              <w:bottom w:val="single" w:color="auto" w:sz="4" w:space="0"/>
              <w:right w:val="nil"/>
            </w:tcBorders>
            <w:shd w:val="clear" w:color="auto" w:fill="auto"/>
            <w:noWrap/>
            <w:vAlign w:val="center"/>
          </w:tcPr>
          <w:p w14:paraId="005882A3">
            <w:pPr>
              <w:keepNext w:val="0"/>
              <w:keepLines w:val="0"/>
              <w:widowControl/>
              <w:suppressLineNumbers w:val="0"/>
              <w:jc w:val="left"/>
              <w:textAlignment w:val="center"/>
              <w:rPr>
                <w:rFonts w:hint="eastAsia" w:ascii="Times New Roman" w:hAnsi="Times New Roman" w:cs="Times New Roman"/>
                <w:sz w:val="20"/>
                <w:szCs w:val="20"/>
                <w:lang w:val="en-US" w:eastAsia="zh-CN"/>
              </w:rPr>
            </w:pPr>
            <w:r>
              <w:rPr>
                <w:rFonts w:hint="default" w:ascii="Times New Roman Bold" w:hAnsi="Times New Roman Bold" w:eastAsia="宋体" w:cs="Times New Roman Bold"/>
                <w:b/>
                <w:bCs/>
                <w:i w:val="0"/>
                <w:iCs w:val="0"/>
                <w:color w:val="000000"/>
                <w:kern w:val="0"/>
                <w:sz w:val="20"/>
                <w:szCs w:val="20"/>
                <w:u w:val="none"/>
                <w:lang w:val="en-US" w:eastAsia="zh-CN" w:bidi="ar"/>
              </w:rPr>
              <w:t>Score</w:t>
            </w:r>
          </w:p>
        </w:tc>
      </w:tr>
      <w:tr w14:paraId="0A8DE9D6">
        <w:trPr>
          <w:trHeight w:val="631" w:hRule="atLeast"/>
        </w:trPr>
        <w:tc>
          <w:tcPr>
            <w:tcW w:w="1934" w:type="dxa"/>
            <w:tcBorders>
              <w:top w:val="single" w:color="auto" w:sz="4" w:space="0"/>
              <w:left w:val="nil"/>
              <w:bottom w:val="nil"/>
              <w:right w:val="nil"/>
            </w:tcBorders>
            <w:shd w:val="clear" w:color="auto" w:fill="auto"/>
            <w:noWrap/>
            <w:vAlign w:val="center"/>
          </w:tcPr>
          <w:p w14:paraId="63EC8B12">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Authorship</w:t>
            </w:r>
          </w:p>
        </w:tc>
        <w:tc>
          <w:tcPr>
            <w:tcW w:w="7751" w:type="dxa"/>
            <w:tcBorders>
              <w:top w:val="single" w:color="auto" w:sz="4" w:space="0"/>
              <w:left w:val="nil"/>
              <w:bottom w:val="nil"/>
              <w:right w:val="nil"/>
            </w:tcBorders>
            <w:shd w:val="clear" w:color="auto" w:fill="auto"/>
            <w:vAlign w:val="top"/>
          </w:tcPr>
          <w:p w14:paraId="21A0D96A">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Authors and contributors, their affiliations, and relevant credentials should be provided</w:t>
            </w:r>
          </w:p>
        </w:tc>
        <w:tc>
          <w:tcPr>
            <w:tcW w:w="991" w:type="dxa"/>
            <w:tcBorders>
              <w:top w:val="single" w:color="auto" w:sz="4" w:space="0"/>
              <w:left w:val="nil"/>
              <w:bottom w:val="nil"/>
              <w:right w:val="nil"/>
            </w:tcBorders>
            <w:shd w:val="clear" w:color="auto" w:fill="auto"/>
            <w:noWrap/>
            <w:vAlign w:val="center"/>
          </w:tcPr>
          <w:p w14:paraId="2B7A4BC6">
            <w:pPr>
              <w:keepNext w:val="0"/>
              <w:keepLines w:val="0"/>
              <w:widowControl/>
              <w:suppressLineNumbers w:val="0"/>
              <w:jc w:val="left"/>
              <w:textAlignment w:val="center"/>
              <w:rPr>
                <w:rFonts w:hint="eastAsia" w:ascii="Times New Roman" w:hAnsi="Times New Roman" w:cs="Times New Roman"/>
                <w:sz w:val="20"/>
                <w:szCs w:val="20"/>
                <w:lang w:val="en-US" w:eastAsia="zh-CN"/>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39E0E4D3">
        <w:trPr>
          <w:trHeight w:val="672" w:hRule="atLeast"/>
        </w:trPr>
        <w:tc>
          <w:tcPr>
            <w:tcW w:w="1934" w:type="dxa"/>
            <w:tcBorders>
              <w:top w:val="nil"/>
              <w:left w:val="nil"/>
              <w:bottom w:val="nil"/>
              <w:right w:val="nil"/>
            </w:tcBorders>
            <w:shd w:val="clear" w:color="auto" w:fill="auto"/>
            <w:vAlign w:val="center"/>
          </w:tcPr>
          <w:p w14:paraId="40058B77">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Attribution</w:t>
            </w:r>
          </w:p>
        </w:tc>
        <w:tc>
          <w:tcPr>
            <w:tcW w:w="7751" w:type="dxa"/>
            <w:tcBorders>
              <w:top w:val="nil"/>
              <w:left w:val="nil"/>
              <w:bottom w:val="nil"/>
              <w:right w:val="nil"/>
            </w:tcBorders>
            <w:shd w:val="clear" w:color="auto" w:fill="auto"/>
            <w:vAlign w:val="top"/>
          </w:tcPr>
          <w:p w14:paraId="774C173A">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References and sources for all content should be listed clearly, and all relevant copyright information should be noted</w:t>
            </w:r>
          </w:p>
        </w:tc>
        <w:tc>
          <w:tcPr>
            <w:tcW w:w="991" w:type="dxa"/>
            <w:tcBorders>
              <w:top w:val="nil"/>
              <w:left w:val="nil"/>
              <w:bottom w:val="nil"/>
              <w:right w:val="nil"/>
            </w:tcBorders>
            <w:shd w:val="clear" w:color="auto" w:fill="auto"/>
            <w:noWrap/>
            <w:vAlign w:val="center"/>
          </w:tcPr>
          <w:p w14:paraId="6AB297C0">
            <w:pPr>
              <w:keepNext w:val="0"/>
              <w:keepLines w:val="0"/>
              <w:widowControl/>
              <w:suppressLineNumbers w:val="0"/>
              <w:jc w:val="left"/>
              <w:textAlignment w:val="center"/>
              <w:rPr>
                <w:rFonts w:hint="eastAsia" w:ascii="Times New Roman" w:hAnsi="Times New Roman" w:cs="Times New Roman"/>
                <w:sz w:val="20"/>
                <w:szCs w:val="20"/>
                <w:lang w:val="en-US" w:eastAsia="zh-CN"/>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5A0DE5D9">
        <w:trPr>
          <w:trHeight w:val="1008" w:hRule="atLeast"/>
        </w:trPr>
        <w:tc>
          <w:tcPr>
            <w:tcW w:w="1934" w:type="dxa"/>
            <w:tcBorders>
              <w:top w:val="nil"/>
              <w:left w:val="nil"/>
              <w:bottom w:val="nil"/>
              <w:right w:val="nil"/>
            </w:tcBorders>
            <w:shd w:val="clear" w:color="auto" w:fill="auto"/>
            <w:noWrap/>
            <w:vAlign w:val="center"/>
          </w:tcPr>
          <w:p w14:paraId="4B541F99">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Disclosure</w:t>
            </w:r>
          </w:p>
        </w:tc>
        <w:tc>
          <w:tcPr>
            <w:tcW w:w="7751" w:type="dxa"/>
            <w:tcBorders>
              <w:top w:val="nil"/>
              <w:left w:val="nil"/>
              <w:bottom w:val="nil"/>
              <w:right w:val="nil"/>
            </w:tcBorders>
            <w:shd w:val="clear" w:color="auto" w:fill="auto"/>
            <w:vAlign w:val="top"/>
          </w:tcPr>
          <w:p w14:paraId="53FD445F">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Website “ownership” should be prominently and fully disclosed, as should any sponsorship, advertising, underwriting, commercial funding arrangements or support, or potential conflicts of interest</w:t>
            </w:r>
          </w:p>
        </w:tc>
        <w:tc>
          <w:tcPr>
            <w:tcW w:w="991" w:type="dxa"/>
            <w:tcBorders>
              <w:top w:val="nil"/>
              <w:left w:val="nil"/>
              <w:bottom w:val="nil"/>
              <w:right w:val="nil"/>
            </w:tcBorders>
            <w:shd w:val="clear" w:color="auto" w:fill="auto"/>
            <w:noWrap/>
            <w:vAlign w:val="center"/>
          </w:tcPr>
          <w:p w14:paraId="3980A7D0">
            <w:pPr>
              <w:keepNext w:val="0"/>
              <w:keepLines w:val="0"/>
              <w:widowControl/>
              <w:suppressLineNumbers w:val="0"/>
              <w:jc w:val="left"/>
              <w:textAlignment w:val="center"/>
              <w:rPr>
                <w:rFonts w:hint="eastAsia" w:ascii="Times New Roman" w:hAnsi="Times New Roman" w:cs="Times New Roman"/>
                <w:sz w:val="20"/>
                <w:szCs w:val="20"/>
                <w:lang w:val="en-US" w:eastAsia="zh-CN"/>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r w14:paraId="472DA031">
        <w:trPr>
          <w:trHeight w:val="336" w:hRule="atLeast"/>
        </w:trPr>
        <w:tc>
          <w:tcPr>
            <w:tcW w:w="1934" w:type="dxa"/>
            <w:tcBorders>
              <w:top w:val="nil"/>
              <w:left w:val="nil"/>
              <w:bottom w:val="single" w:color="auto" w:sz="12" w:space="0"/>
              <w:right w:val="nil"/>
            </w:tcBorders>
            <w:shd w:val="clear" w:color="auto" w:fill="auto"/>
            <w:vAlign w:val="center"/>
          </w:tcPr>
          <w:p w14:paraId="5A760A7E">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Currency</w:t>
            </w:r>
          </w:p>
        </w:tc>
        <w:tc>
          <w:tcPr>
            <w:tcW w:w="7751" w:type="dxa"/>
            <w:tcBorders>
              <w:top w:val="nil"/>
              <w:left w:val="nil"/>
              <w:bottom w:val="single" w:color="auto" w:sz="12" w:space="0"/>
              <w:right w:val="nil"/>
            </w:tcBorders>
            <w:shd w:val="clear" w:color="auto" w:fill="auto"/>
            <w:vAlign w:val="top"/>
          </w:tcPr>
          <w:p w14:paraId="2CFC9CC4">
            <w:p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Dates when content was posted and updated should be indicated</w:t>
            </w:r>
          </w:p>
        </w:tc>
        <w:tc>
          <w:tcPr>
            <w:tcW w:w="991" w:type="dxa"/>
            <w:tcBorders>
              <w:top w:val="nil"/>
              <w:left w:val="nil"/>
              <w:bottom w:val="single" w:color="auto" w:sz="12" w:space="0"/>
              <w:right w:val="nil"/>
            </w:tcBorders>
            <w:shd w:val="clear" w:color="auto" w:fill="auto"/>
            <w:noWrap/>
            <w:vAlign w:val="center"/>
          </w:tcPr>
          <w:p w14:paraId="10456D48">
            <w:pPr>
              <w:keepNext w:val="0"/>
              <w:keepLines w:val="0"/>
              <w:widowControl/>
              <w:suppressLineNumbers w:val="0"/>
              <w:jc w:val="left"/>
              <w:textAlignment w:val="center"/>
              <w:rPr>
                <w:rFonts w:hint="eastAsia" w:ascii="Times New Roman" w:hAnsi="Times New Roman" w:cs="Times New Roman"/>
                <w:sz w:val="20"/>
                <w:szCs w:val="20"/>
                <w:lang w:val="en-US" w:eastAsia="zh-CN"/>
              </w:rPr>
            </w:pPr>
            <w:r>
              <w:rPr>
                <w:rFonts w:hint="default" w:ascii="Times New Roman" w:hAnsi="Times New Roman" w:eastAsia="宋体" w:cs="Times New Roman"/>
                <w:b w:val="0"/>
                <w:i w:val="0"/>
                <w:iCs w:val="0"/>
                <w:color w:val="000000"/>
                <w:kern w:val="0"/>
                <w:sz w:val="20"/>
                <w:szCs w:val="20"/>
                <w:u w:val="none"/>
                <w:lang w:val="en-US" w:eastAsia="zh-CN" w:bidi="ar"/>
              </w:rPr>
              <w:t>0 or 1</w:t>
            </w:r>
          </w:p>
        </w:tc>
      </w:tr>
    </w:tbl>
    <w:p w14:paraId="0DDF6ADB">
      <w:pPr>
        <w:rPr>
          <w:rFonts w:hint="eastAsia" w:ascii="Times New Roman" w:hAnsi="Times New Roman" w:cs="Times New Roman"/>
          <w:sz w:val="20"/>
          <w:szCs w:val="20"/>
          <w:lang w:val="en-US" w:eastAsia="zh-CN"/>
        </w:rPr>
      </w:pPr>
    </w:p>
    <w:p w14:paraId="545F9892">
      <w:pPr>
        <w:rPr>
          <w:rFonts w:hint="eastAsia" w:ascii="Times New Roman" w:hAnsi="Times New Roman" w:cs="Times New Roman"/>
          <w:sz w:val="20"/>
          <w:szCs w:val="20"/>
          <w:lang w:val="en-US" w:eastAsia="zh-CN"/>
        </w:rPr>
      </w:pPr>
    </w:p>
    <w:p w14:paraId="7790473F">
      <w:pPr>
        <w:rPr>
          <w:rFonts w:hint="default" w:ascii="Times New Roman Bold" w:hAnsi="Times New Roman Bold" w:cs="Times New Roman Bold"/>
          <w:b/>
          <w:bCs/>
          <w:sz w:val="24"/>
          <w:szCs w:val="24"/>
        </w:rPr>
      </w:pPr>
      <w:r>
        <w:rPr>
          <w:rFonts w:ascii="Times New Roman" w:hAnsi="Times New Roman" w:cs="Times New Roman"/>
          <w:b/>
          <w:bCs/>
          <w:sz w:val="24"/>
          <w:szCs w:val="24"/>
        </w:rPr>
        <w:t xml:space="preserve">Supplementary </w:t>
      </w:r>
      <w:r>
        <w:rPr>
          <w:rFonts w:hint="eastAsia" w:ascii="Times New Roman" w:hAnsi="Times New Roman" w:cs="Times New Roman"/>
          <w:b/>
          <w:bCs/>
          <w:sz w:val="24"/>
          <w:szCs w:val="24"/>
          <w:lang w:val="en-US" w:eastAsia="zh-CN"/>
        </w:rPr>
        <w:t>T</w:t>
      </w:r>
      <w:r>
        <w:rPr>
          <w:rFonts w:ascii="Times New Roman" w:hAnsi="Times New Roman" w:cs="Times New Roman"/>
          <w:b/>
          <w:bCs/>
          <w:sz w:val="24"/>
          <w:szCs w:val="24"/>
        </w:rPr>
        <w:t xml:space="preserve">able </w:t>
      </w:r>
      <w:r>
        <w:rPr>
          <w:rFonts w:hint="eastAsia" w:ascii="Times New Roman" w:hAnsi="Times New Roman" w:cs="Times New Roman"/>
          <w:b/>
          <w:bCs/>
          <w:sz w:val="24"/>
          <w:szCs w:val="24"/>
          <w:lang w:val="en-US" w:eastAsia="zh-CN"/>
        </w:rPr>
        <w:t>7</w:t>
      </w:r>
      <w:r>
        <w:rPr>
          <w:rFonts w:ascii="Times New Roman" w:hAnsi="Times New Roman" w:cs="Times New Roman"/>
          <w:b/>
          <w:bCs/>
          <w:sz w:val="24"/>
          <w:szCs w:val="24"/>
        </w:rPr>
        <w:t>.</w:t>
      </w:r>
      <w:r>
        <w:rPr>
          <w:rFonts w:ascii="Times New Roman" w:hAnsi="Times New Roman" w:cs="Times New Roman"/>
          <w:b/>
          <w:bCs/>
        </w:rPr>
        <w:t xml:space="preserve"> </w:t>
      </w:r>
      <w:r>
        <w:rPr>
          <w:rFonts w:hint="default" w:ascii="Times New Roman Bold" w:hAnsi="Times New Roman Bold" w:cs="Times New Roman Bold"/>
          <w:b/>
          <w:bCs/>
          <w:sz w:val="24"/>
          <w:szCs w:val="24"/>
        </w:rPr>
        <w:t xml:space="preserve">Score grading for </w:t>
      </w:r>
      <w:r>
        <w:rPr>
          <w:rFonts w:hint="default" w:ascii="Times New Roman Bold" w:hAnsi="Times New Roman Bold" w:cs="Times New Roman Bold"/>
          <w:b/>
          <w:bCs/>
          <w:sz w:val="24"/>
          <w:szCs w:val="24"/>
          <w:lang w:val="en-US" w:eastAsia="zh-CN"/>
        </w:rPr>
        <w:t xml:space="preserve">Global Quality Score </w:t>
      </w:r>
      <w:r>
        <w:rPr>
          <w:rFonts w:hint="default" w:ascii="Times New Roman Bold" w:hAnsi="Times New Roman Bold" w:cs="Times New Roman Bold"/>
          <w:b/>
          <w:bCs/>
          <w:sz w:val="24"/>
          <w:szCs w:val="24"/>
        </w:rPr>
        <w:t xml:space="preserve">, modified DISCERN and Medical Quality </w:t>
      </w:r>
      <w:r>
        <w:rPr>
          <w:rFonts w:hint="default" w:ascii="Times New Roman Bold" w:hAnsi="Times New Roman Bold" w:cs="Times New Roman Bold"/>
          <w:b/>
          <w:bCs/>
          <w:sz w:val="24"/>
          <w:szCs w:val="24"/>
          <w:lang w:val="en-US" w:eastAsia="zh-CN"/>
        </w:rPr>
        <w:t>JAMA Benchmark</w:t>
      </w:r>
      <w:r>
        <w:rPr>
          <w:rFonts w:hint="default" w:ascii="Times New Roman Bold" w:hAnsi="Times New Roman Bold" w:cs="Times New Roman Bold"/>
          <w:b/>
          <w:bCs/>
          <w:sz w:val="24"/>
          <w:szCs w:val="24"/>
        </w:rPr>
        <w:t>.</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80"/>
        <w:gridCol w:w="2120"/>
      </w:tblGrid>
      <w:tr w14:paraId="757385C4">
        <w:trPr>
          <w:trHeight w:val="276" w:hRule="atLeast"/>
        </w:trPr>
        <w:tc>
          <w:tcPr>
            <w:tcW w:w="5880" w:type="dxa"/>
            <w:tcBorders>
              <w:top w:val="single" w:color="000000" w:sz="12" w:space="0"/>
              <w:bottom w:val="single" w:color="000000" w:sz="4" w:space="0"/>
              <w:tl2br w:val="nil"/>
            </w:tcBorders>
            <w:shd w:val="clear" w:color="auto" w:fill="FFFFFF"/>
            <w:noWrap/>
          </w:tcPr>
          <w:p w14:paraId="6A252C63">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Scale, score</w:t>
            </w:r>
          </w:p>
        </w:tc>
        <w:tc>
          <w:tcPr>
            <w:tcW w:w="2120" w:type="dxa"/>
            <w:tcBorders>
              <w:top w:val="single" w:color="000000" w:sz="12" w:space="0"/>
              <w:bottom w:val="single" w:color="000000" w:sz="4" w:space="0"/>
            </w:tcBorders>
            <w:shd w:val="clear" w:color="auto" w:fill="FFFFFF"/>
            <w:noWrap/>
          </w:tcPr>
          <w:p w14:paraId="0B6E6F16">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Level</w:t>
            </w:r>
          </w:p>
        </w:tc>
      </w:tr>
      <w:tr w14:paraId="19A038AD">
        <w:trPr>
          <w:trHeight w:val="276" w:hRule="atLeast"/>
        </w:trPr>
        <w:tc>
          <w:tcPr>
            <w:tcW w:w="5880" w:type="dxa"/>
            <w:tcBorders>
              <w:top w:val="nil"/>
              <w:bottom w:val="nil"/>
            </w:tcBorders>
            <w:shd w:val="clear" w:color="auto" w:fill="FFFFFF"/>
            <w:noWrap/>
          </w:tcPr>
          <w:p w14:paraId="0E3BC857">
            <w:pPr>
              <w:rPr>
                <w:rFonts w:ascii="Times New Roman" w:hAnsi="Times New Roman" w:cs="Times New Roman"/>
                <w:b w:val="0"/>
                <w:color w:val="000000"/>
                <w:sz w:val="20"/>
                <w:szCs w:val="20"/>
              </w:rPr>
            </w:pPr>
            <w:r>
              <w:rPr>
                <w:rFonts w:hint="eastAsia" w:ascii="Times New Roman" w:hAnsi="Times New Roman" w:cs="Times New Roman"/>
                <w:sz w:val="20"/>
                <w:szCs w:val="20"/>
                <w:lang w:val="en-US" w:eastAsia="zh-CN"/>
              </w:rPr>
              <w:t>Global Quality Score</w:t>
            </w:r>
          </w:p>
        </w:tc>
        <w:tc>
          <w:tcPr>
            <w:tcW w:w="2120" w:type="dxa"/>
            <w:tcBorders>
              <w:top w:val="nil"/>
              <w:bottom w:val="nil"/>
            </w:tcBorders>
            <w:shd w:val="clear" w:color="auto" w:fill="FFFFFF"/>
            <w:noWrap/>
          </w:tcPr>
          <w:p w14:paraId="19DA5036">
            <w:pPr>
              <w:rPr>
                <w:rFonts w:ascii="Times New Roman" w:hAnsi="Times New Roman" w:cs="Times New Roman"/>
                <w:b w:val="0"/>
                <w:color w:val="000000"/>
                <w:sz w:val="20"/>
                <w:szCs w:val="20"/>
              </w:rPr>
            </w:pPr>
          </w:p>
        </w:tc>
      </w:tr>
      <w:tr w14:paraId="4C00E7B1">
        <w:trPr>
          <w:trHeight w:val="300" w:hRule="atLeast"/>
        </w:trPr>
        <w:tc>
          <w:tcPr>
            <w:tcW w:w="5880" w:type="dxa"/>
            <w:tcBorders>
              <w:top w:val="nil"/>
              <w:bottom w:val="nil"/>
            </w:tcBorders>
            <w:shd w:val="clear" w:color="auto" w:fill="FFFFFF"/>
            <w:noWrap/>
          </w:tcPr>
          <w:p w14:paraId="132FCC7A">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1</w:t>
            </w:r>
          </w:p>
        </w:tc>
        <w:tc>
          <w:tcPr>
            <w:tcW w:w="2120" w:type="dxa"/>
            <w:tcBorders>
              <w:top w:val="nil"/>
              <w:bottom w:val="nil"/>
            </w:tcBorders>
            <w:shd w:val="clear" w:color="auto" w:fill="FFFFFF"/>
            <w:noWrap/>
          </w:tcPr>
          <w:p w14:paraId="588226E9">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Very poor</w:t>
            </w:r>
          </w:p>
        </w:tc>
      </w:tr>
      <w:tr w14:paraId="62D8E6AF">
        <w:trPr>
          <w:trHeight w:val="300" w:hRule="atLeast"/>
        </w:trPr>
        <w:tc>
          <w:tcPr>
            <w:tcW w:w="5880" w:type="dxa"/>
            <w:tcBorders>
              <w:top w:val="nil"/>
              <w:bottom w:val="nil"/>
            </w:tcBorders>
            <w:shd w:val="clear" w:color="auto" w:fill="FFFFFF"/>
            <w:noWrap/>
          </w:tcPr>
          <w:p w14:paraId="38A5FF34">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2</w:t>
            </w:r>
          </w:p>
        </w:tc>
        <w:tc>
          <w:tcPr>
            <w:tcW w:w="2120" w:type="dxa"/>
            <w:tcBorders>
              <w:top w:val="nil"/>
              <w:bottom w:val="nil"/>
            </w:tcBorders>
            <w:shd w:val="clear" w:color="auto" w:fill="FFFFFF"/>
            <w:noWrap/>
          </w:tcPr>
          <w:p w14:paraId="1888DDDA">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Poor</w:t>
            </w:r>
          </w:p>
        </w:tc>
      </w:tr>
      <w:tr w14:paraId="2B31FE61">
        <w:trPr>
          <w:trHeight w:val="300" w:hRule="atLeast"/>
        </w:trPr>
        <w:tc>
          <w:tcPr>
            <w:tcW w:w="5880" w:type="dxa"/>
            <w:tcBorders>
              <w:top w:val="nil"/>
              <w:bottom w:val="nil"/>
            </w:tcBorders>
            <w:shd w:val="clear" w:color="auto" w:fill="FFFFFF"/>
            <w:noWrap/>
          </w:tcPr>
          <w:p w14:paraId="1768D883">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3</w:t>
            </w:r>
          </w:p>
        </w:tc>
        <w:tc>
          <w:tcPr>
            <w:tcW w:w="2120" w:type="dxa"/>
            <w:tcBorders>
              <w:top w:val="nil"/>
              <w:bottom w:val="nil"/>
            </w:tcBorders>
            <w:shd w:val="clear" w:color="auto" w:fill="FFFFFF"/>
            <w:noWrap/>
          </w:tcPr>
          <w:p w14:paraId="115E817C">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Fair</w:t>
            </w:r>
          </w:p>
        </w:tc>
      </w:tr>
      <w:tr w14:paraId="1D661A2A">
        <w:trPr>
          <w:trHeight w:val="90" w:hRule="atLeast"/>
        </w:trPr>
        <w:tc>
          <w:tcPr>
            <w:tcW w:w="5880" w:type="dxa"/>
            <w:tcBorders>
              <w:top w:val="nil"/>
              <w:bottom w:val="nil"/>
            </w:tcBorders>
            <w:shd w:val="clear" w:color="auto" w:fill="FFFFFF"/>
            <w:noWrap/>
          </w:tcPr>
          <w:p w14:paraId="2B1BB88A">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4</w:t>
            </w:r>
          </w:p>
        </w:tc>
        <w:tc>
          <w:tcPr>
            <w:tcW w:w="2120" w:type="dxa"/>
            <w:tcBorders>
              <w:top w:val="nil"/>
              <w:bottom w:val="nil"/>
            </w:tcBorders>
            <w:shd w:val="clear" w:color="auto" w:fill="FFFFFF"/>
            <w:noWrap/>
          </w:tcPr>
          <w:p w14:paraId="32A640BB">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Good</w:t>
            </w:r>
          </w:p>
        </w:tc>
      </w:tr>
      <w:tr w14:paraId="0D6A2F78">
        <w:trPr>
          <w:trHeight w:val="300" w:hRule="atLeast"/>
        </w:trPr>
        <w:tc>
          <w:tcPr>
            <w:tcW w:w="5880" w:type="dxa"/>
            <w:tcBorders>
              <w:top w:val="nil"/>
              <w:bottom w:val="nil"/>
            </w:tcBorders>
            <w:shd w:val="clear" w:color="auto" w:fill="FFFFFF"/>
            <w:noWrap/>
          </w:tcPr>
          <w:p w14:paraId="295C2708">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5</w:t>
            </w:r>
          </w:p>
        </w:tc>
        <w:tc>
          <w:tcPr>
            <w:tcW w:w="2120" w:type="dxa"/>
            <w:tcBorders>
              <w:top w:val="nil"/>
              <w:bottom w:val="nil"/>
            </w:tcBorders>
            <w:shd w:val="clear" w:color="auto" w:fill="FFFFFF"/>
            <w:noWrap/>
          </w:tcPr>
          <w:p w14:paraId="321B5416">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Excellent</w:t>
            </w:r>
          </w:p>
        </w:tc>
      </w:tr>
      <w:tr w14:paraId="240BFB31">
        <w:trPr>
          <w:trHeight w:val="276" w:hRule="atLeast"/>
        </w:trPr>
        <w:tc>
          <w:tcPr>
            <w:tcW w:w="5880" w:type="dxa"/>
            <w:tcBorders>
              <w:top w:val="nil"/>
              <w:bottom w:val="nil"/>
            </w:tcBorders>
            <w:shd w:val="clear" w:color="auto" w:fill="FFFFFF"/>
            <w:noWrap/>
          </w:tcPr>
          <w:p w14:paraId="5DCDB975">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modified DISCERN</w:t>
            </w:r>
          </w:p>
        </w:tc>
        <w:tc>
          <w:tcPr>
            <w:tcW w:w="2120" w:type="dxa"/>
            <w:tcBorders>
              <w:top w:val="nil"/>
              <w:bottom w:val="nil"/>
            </w:tcBorders>
            <w:shd w:val="clear" w:color="auto" w:fill="FFFFFF"/>
            <w:noWrap/>
          </w:tcPr>
          <w:p w14:paraId="5D150851">
            <w:pPr>
              <w:rPr>
                <w:rFonts w:ascii="Times New Roman" w:hAnsi="Times New Roman" w:cs="Times New Roman"/>
                <w:b w:val="0"/>
                <w:color w:val="000000"/>
                <w:sz w:val="20"/>
                <w:szCs w:val="20"/>
              </w:rPr>
            </w:pPr>
          </w:p>
        </w:tc>
      </w:tr>
      <w:tr w14:paraId="0CA2F2EF">
        <w:trPr>
          <w:trHeight w:val="300" w:hRule="atLeast"/>
        </w:trPr>
        <w:tc>
          <w:tcPr>
            <w:tcW w:w="5880" w:type="dxa"/>
            <w:tcBorders>
              <w:top w:val="nil"/>
              <w:bottom w:val="nil"/>
            </w:tcBorders>
            <w:shd w:val="clear" w:color="auto" w:fill="FFFFFF"/>
            <w:noWrap/>
          </w:tcPr>
          <w:p w14:paraId="26696E42">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1</w:t>
            </w:r>
          </w:p>
        </w:tc>
        <w:tc>
          <w:tcPr>
            <w:tcW w:w="2120" w:type="dxa"/>
            <w:tcBorders>
              <w:top w:val="nil"/>
              <w:bottom w:val="nil"/>
            </w:tcBorders>
            <w:shd w:val="clear" w:color="auto" w:fill="FFFFFF"/>
            <w:noWrap/>
          </w:tcPr>
          <w:p w14:paraId="667B27FC">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Unreliable</w:t>
            </w:r>
          </w:p>
        </w:tc>
      </w:tr>
      <w:tr w14:paraId="0BEE9C84">
        <w:trPr>
          <w:trHeight w:val="300" w:hRule="atLeast"/>
        </w:trPr>
        <w:tc>
          <w:tcPr>
            <w:tcW w:w="5880" w:type="dxa"/>
            <w:tcBorders>
              <w:top w:val="nil"/>
              <w:bottom w:val="nil"/>
            </w:tcBorders>
            <w:shd w:val="clear" w:color="auto" w:fill="FFFFFF"/>
            <w:noWrap/>
          </w:tcPr>
          <w:p w14:paraId="553E667B">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2</w:t>
            </w:r>
          </w:p>
        </w:tc>
        <w:tc>
          <w:tcPr>
            <w:tcW w:w="2120" w:type="dxa"/>
            <w:tcBorders>
              <w:top w:val="nil"/>
              <w:bottom w:val="nil"/>
            </w:tcBorders>
            <w:shd w:val="clear" w:color="auto" w:fill="FFFFFF"/>
            <w:noWrap/>
          </w:tcPr>
          <w:p w14:paraId="0CFEB73B">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 xml:space="preserve">Less reliable </w:t>
            </w:r>
          </w:p>
        </w:tc>
      </w:tr>
      <w:tr w14:paraId="312E90D1">
        <w:trPr>
          <w:trHeight w:val="300" w:hRule="atLeast"/>
        </w:trPr>
        <w:tc>
          <w:tcPr>
            <w:tcW w:w="5880" w:type="dxa"/>
            <w:tcBorders>
              <w:top w:val="nil"/>
              <w:bottom w:val="nil"/>
            </w:tcBorders>
            <w:shd w:val="clear" w:color="auto" w:fill="FFFFFF"/>
            <w:noWrap/>
          </w:tcPr>
          <w:p w14:paraId="50613016">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3</w:t>
            </w:r>
          </w:p>
        </w:tc>
        <w:tc>
          <w:tcPr>
            <w:tcW w:w="2120" w:type="dxa"/>
            <w:tcBorders>
              <w:top w:val="nil"/>
              <w:bottom w:val="nil"/>
            </w:tcBorders>
            <w:shd w:val="clear" w:color="auto" w:fill="FFFFFF"/>
            <w:noWrap/>
          </w:tcPr>
          <w:p w14:paraId="5AACEFA5">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Generally reliable</w:t>
            </w:r>
          </w:p>
        </w:tc>
      </w:tr>
      <w:tr w14:paraId="479A29CA">
        <w:trPr>
          <w:trHeight w:val="300" w:hRule="atLeast"/>
        </w:trPr>
        <w:tc>
          <w:tcPr>
            <w:tcW w:w="5880" w:type="dxa"/>
            <w:tcBorders>
              <w:top w:val="nil"/>
              <w:bottom w:val="nil"/>
            </w:tcBorders>
            <w:shd w:val="clear" w:color="auto" w:fill="FFFFFF"/>
            <w:noWrap/>
          </w:tcPr>
          <w:p w14:paraId="09924665">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4</w:t>
            </w:r>
          </w:p>
        </w:tc>
        <w:tc>
          <w:tcPr>
            <w:tcW w:w="2120" w:type="dxa"/>
            <w:tcBorders>
              <w:top w:val="nil"/>
              <w:bottom w:val="nil"/>
            </w:tcBorders>
            <w:shd w:val="clear" w:color="auto" w:fill="FFFFFF"/>
            <w:noWrap/>
          </w:tcPr>
          <w:p w14:paraId="43D912F3">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Reliable</w:t>
            </w:r>
          </w:p>
        </w:tc>
      </w:tr>
      <w:tr w14:paraId="00EBE049">
        <w:trPr>
          <w:trHeight w:val="300" w:hRule="atLeast"/>
        </w:trPr>
        <w:tc>
          <w:tcPr>
            <w:tcW w:w="5880" w:type="dxa"/>
            <w:tcBorders>
              <w:top w:val="nil"/>
              <w:bottom w:val="nil"/>
            </w:tcBorders>
            <w:shd w:val="clear" w:color="auto" w:fill="FFFFFF"/>
            <w:noWrap/>
          </w:tcPr>
          <w:p w14:paraId="7C07C7FC">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5</w:t>
            </w:r>
          </w:p>
        </w:tc>
        <w:tc>
          <w:tcPr>
            <w:tcW w:w="2120" w:type="dxa"/>
            <w:tcBorders>
              <w:top w:val="nil"/>
              <w:bottom w:val="nil"/>
            </w:tcBorders>
            <w:shd w:val="clear" w:color="auto" w:fill="FFFFFF"/>
            <w:noWrap/>
          </w:tcPr>
          <w:p w14:paraId="61AEAECA">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Very reliable</w:t>
            </w:r>
          </w:p>
        </w:tc>
      </w:tr>
      <w:tr w14:paraId="095A2529">
        <w:trPr>
          <w:trHeight w:val="276" w:hRule="atLeast"/>
        </w:trPr>
        <w:tc>
          <w:tcPr>
            <w:tcW w:w="5880" w:type="dxa"/>
            <w:tcBorders>
              <w:top w:val="nil"/>
              <w:bottom w:val="nil"/>
            </w:tcBorders>
            <w:shd w:val="clear" w:color="auto" w:fill="FFFFFF"/>
            <w:noWrap/>
          </w:tcPr>
          <w:p w14:paraId="76AF1ED5">
            <w:pPr>
              <w:rPr>
                <w:rFonts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 xml:space="preserve">JAMA </w:t>
            </w:r>
            <w:r>
              <w:rPr>
                <w:rFonts w:hint="eastAsia" w:ascii="Times New Roman" w:hAnsi="Times New Roman" w:cs="Times New Roman"/>
                <w:b w:val="0"/>
                <w:color w:val="000000"/>
                <w:sz w:val="20"/>
                <w:szCs w:val="20"/>
                <w:lang w:val="en-US" w:eastAsia="zh-CN"/>
              </w:rPr>
              <w:t>Benchmark</w:t>
            </w:r>
          </w:p>
        </w:tc>
        <w:tc>
          <w:tcPr>
            <w:tcW w:w="2120" w:type="dxa"/>
            <w:tcBorders>
              <w:top w:val="nil"/>
              <w:bottom w:val="nil"/>
            </w:tcBorders>
            <w:shd w:val="clear" w:color="auto" w:fill="FFFFFF"/>
            <w:noWrap/>
          </w:tcPr>
          <w:p w14:paraId="4294C51F">
            <w:pPr>
              <w:rPr>
                <w:rFonts w:ascii="Times New Roman" w:hAnsi="Times New Roman" w:cs="Times New Roman"/>
                <w:b w:val="0"/>
                <w:color w:val="000000"/>
                <w:sz w:val="20"/>
                <w:szCs w:val="20"/>
              </w:rPr>
            </w:pPr>
          </w:p>
        </w:tc>
      </w:tr>
      <w:tr w14:paraId="56D009BD">
        <w:trPr>
          <w:trHeight w:val="300" w:hRule="atLeast"/>
        </w:trPr>
        <w:tc>
          <w:tcPr>
            <w:tcW w:w="5880" w:type="dxa"/>
            <w:tcBorders>
              <w:top w:val="nil"/>
              <w:bottom w:val="nil"/>
            </w:tcBorders>
            <w:shd w:val="clear" w:color="auto" w:fill="FFFFFF"/>
            <w:noWrap/>
          </w:tcPr>
          <w:p w14:paraId="6ECC482D">
            <w:pPr>
              <w:rPr>
                <w:rFonts w:hint="eastAsia" w:ascii="Times New Roman" w:hAnsi="Times New Roman" w:cs="Times New Roman" w:eastAsiaTheme="minorEastAsia"/>
                <w:b w:val="0"/>
                <w:color w:val="000000"/>
                <w:sz w:val="20"/>
                <w:szCs w:val="20"/>
                <w:lang w:eastAsia="zh-CN"/>
              </w:rPr>
            </w:pPr>
            <w:r>
              <w:rPr>
                <w:rFonts w:hint="eastAsia" w:ascii="Times New Roman" w:hAnsi="Times New Roman" w:cs="Times New Roman"/>
                <w:b w:val="0"/>
                <w:color w:val="000000"/>
                <w:sz w:val="20"/>
                <w:szCs w:val="20"/>
                <w:lang w:val="en-US" w:eastAsia="zh-CN"/>
              </w:rPr>
              <w:t>0</w:t>
            </w:r>
          </w:p>
        </w:tc>
        <w:tc>
          <w:tcPr>
            <w:tcW w:w="2120" w:type="dxa"/>
            <w:tcBorders>
              <w:top w:val="nil"/>
              <w:bottom w:val="nil"/>
            </w:tcBorders>
            <w:shd w:val="clear" w:color="auto" w:fill="FFFFFF"/>
            <w:noWrap/>
          </w:tcPr>
          <w:p w14:paraId="1A652473">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Very poor</w:t>
            </w:r>
          </w:p>
        </w:tc>
      </w:tr>
      <w:tr w14:paraId="091B4E0C">
        <w:trPr>
          <w:trHeight w:val="300" w:hRule="atLeast"/>
        </w:trPr>
        <w:tc>
          <w:tcPr>
            <w:tcW w:w="5880" w:type="dxa"/>
            <w:tcBorders>
              <w:top w:val="nil"/>
              <w:bottom w:val="nil"/>
            </w:tcBorders>
            <w:shd w:val="clear" w:color="auto" w:fill="FFFFFF"/>
            <w:noWrap/>
          </w:tcPr>
          <w:p w14:paraId="6AA03DE2">
            <w:pPr>
              <w:rPr>
                <w:rFonts w:hint="eastAsia" w:ascii="Times New Roman" w:hAnsi="Times New Roman" w:cs="Times New Roman" w:eastAsiaTheme="minorEastAsia"/>
                <w:b w:val="0"/>
                <w:color w:val="000000"/>
                <w:sz w:val="20"/>
                <w:szCs w:val="20"/>
                <w:lang w:eastAsia="zh-CN"/>
              </w:rPr>
            </w:pPr>
            <w:r>
              <w:rPr>
                <w:rFonts w:hint="eastAsia" w:ascii="Times New Roman" w:hAnsi="Times New Roman" w:cs="Times New Roman"/>
                <w:b w:val="0"/>
                <w:color w:val="000000"/>
                <w:sz w:val="20"/>
                <w:szCs w:val="20"/>
                <w:lang w:val="en-US" w:eastAsia="zh-CN"/>
              </w:rPr>
              <w:t>1</w:t>
            </w:r>
          </w:p>
        </w:tc>
        <w:tc>
          <w:tcPr>
            <w:tcW w:w="2120" w:type="dxa"/>
            <w:tcBorders>
              <w:top w:val="nil"/>
              <w:bottom w:val="nil"/>
            </w:tcBorders>
            <w:shd w:val="clear" w:color="auto" w:fill="FFFFFF"/>
            <w:noWrap/>
          </w:tcPr>
          <w:p w14:paraId="106D363B">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Poor</w:t>
            </w:r>
          </w:p>
        </w:tc>
      </w:tr>
      <w:tr w14:paraId="40D4016C">
        <w:trPr>
          <w:trHeight w:val="300" w:hRule="atLeast"/>
        </w:trPr>
        <w:tc>
          <w:tcPr>
            <w:tcW w:w="5880" w:type="dxa"/>
            <w:tcBorders>
              <w:top w:val="nil"/>
              <w:bottom w:val="nil"/>
            </w:tcBorders>
            <w:shd w:val="clear" w:color="auto" w:fill="FFFFFF"/>
            <w:noWrap/>
          </w:tcPr>
          <w:p w14:paraId="09F24799">
            <w:pPr>
              <w:rPr>
                <w:rFonts w:hint="eastAsia" w:ascii="Times New Roman" w:hAnsi="Times New Roman" w:cs="Times New Roman" w:eastAsiaTheme="minorEastAsia"/>
                <w:b w:val="0"/>
                <w:color w:val="000000"/>
                <w:sz w:val="20"/>
                <w:szCs w:val="20"/>
                <w:lang w:eastAsia="zh-CN"/>
              </w:rPr>
            </w:pPr>
            <w:r>
              <w:rPr>
                <w:rFonts w:hint="eastAsia" w:ascii="Times New Roman" w:hAnsi="Times New Roman" w:cs="Times New Roman"/>
                <w:b w:val="0"/>
                <w:color w:val="000000"/>
                <w:sz w:val="20"/>
                <w:szCs w:val="20"/>
                <w:lang w:val="en-US" w:eastAsia="zh-CN"/>
              </w:rPr>
              <w:t>2</w:t>
            </w:r>
          </w:p>
        </w:tc>
        <w:tc>
          <w:tcPr>
            <w:tcW w:w="2120" w:type="dxa"/>
            <w:tcBorders>
              <w:top w:val="nil"/>
              <w:bottom w:val="nil"/>
            </w:tcBorders>
            <w:shd w:val="clear" w:color="auto" w:fill="FFFFFF"/>
            <w:noWrap/>
          </w:tcPr>
          <w:p w14:paraId="31075604">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Fair</w:t>
            </w:r>
          </w:p>
        </w:tc>
      </w:tr>
      <w:tr w14:paraId="164681C8">
        <w:trPr>
          <w:trHeight w:val="300" w:hRule="atLeast"/>
        </w:trPr>
        <w:tc>
          <w:tcPr>
            <w:tcW w:w="5880" w:type="dxa"/>
            <w:tcBorders>
              <w:top w:val="nil"/>
              <w:bottom w:val="nil"/>
            </w:tcBorders>
            <w:shd w:val="clear" w:color="auto" w:fill="FFFFFF"/>
            <w:noWrap/>
          </w:tcPr>
          <w:p w14:paraId="669EB60D">
            <w:pPr>
              <w:rPr>
                <w:rFonts w:hint="eastAsia" w:ascii="Times New Roman" w:hAnsi="Times New Roman" w:cs="Times New Roman" w:eastAsiaTheme="minorEastAsia"/>
                <w:b w:val="0"/>
                <w:color w:val="000000"/>
                <w:sz w:val="20"/>
                <w:szCs w:val="20"/>
                <w:lang w:eastAsia="zh-CN"/>
              </w:rPr>
            </w:pPr>
            <w:r>
              <w:rPr>
                <w:rFonts w:hint="eastAsia" w:ascii="Times New Roman" w:hAnsi="Times New Roman" w:cs="Times New Roman"/>
                <w:b w:val="0"/>
                <w:color w:val="000000"/>
                <w:sz w:val="20"/>
                <w:szCs w:val="20"/>
                <w:lang w:val="en-US" w:eastAsia="zh-CN"/>
              </w:rPr>
              <w:t>3</w:t>
            </w:r>
          </w:p>
        </w:tc>
        <w:tc>
          <w:tcPr>
            <w:tcW w:w="2120" w:type="dxa"/>
            <w:tcBorders>
              <w:top w:val="nil"/>
              <w:bottom w:val="nil"/>
            </w:tcBorders>
            <w:shd w:val="clear" w:color="auto" w:fill="FFFFFF"/>
            <w:noWrap/>
          </w:tcPr>
          <w:p w14:paraId="70F34C2F">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Good</w:t>
            </w:r>
          </w:p>
        </w:tc>
      </w:tr>
      <w:tr w14:paraId="6495BC6F">
        <w:trPr>
          <w:trHeight w:val="300" w:hRule="atLeast"/>
        </w:trPr>
        <w:tc>
          <w:tcPr>
            <w:tcW w:w="5880" w:type="dxa"/>
            <w:tcBorders>
              <w:top w:val="nil"/>
              <w:bottom w:val="single" w:color="000000" w:sz="12" w:space="0"/>
            </w:tcBorders>
            <w:shd w:val="clear" w:color="auto" w:fill="FFFFFF"/>
            <w:noWrap/>
          </w:tcPr>
          <w:p w14:paraId="59A1BDBD">
            <w:pPr>
              <w:rPr>
                <w:rFonts w:hint="eastAsia" w:ascii="Times New Roman" w:hAnsi="Times New Roman" w:cs="Times New Roman" w:eastAsiaTheme="minorEastAsia"/>
                <w:b w:val="0"/>
                <w:color w:val="000000"/>
                <w:sz w:val="20"/>
                <w:szCs w:val="20"/>
                <w:lang w:eastAsia="zh-CN"/>
              </w:rPr>
            </w:pPr>
            <w:r>
              <w:rPr>
                <w:rFonts w:hint="eastAsia" w:ascii="Times New Roman" w:hAnsi="Times New Roman" w:cs="Times New Roman"/>
                <w:b w:val="0"/>
                <w:color w:val="000000"/>
                <w:sz w:val="20"/>
                <w:szCs w:val="20"/>
                <w:lang w:val="en-US" w:eastAsia="zh-CN"/>
              </w:rPr>
              <w:t>4</w:t>
            </w:r>
          </w:p>
        </w:tc>
        <w:tc>
          <w:tcPr>
            <w:tcW w:w="2120" w:type="dxa"/>
            <w:tcBorders>
              <w:top w:val="nil"/>
              <w:bottom w:val="single" w:color="000000" w:sz="12" w:space="0"/>
            </w:tcBorders>
            <w:shd w:val="clear" w:color="auto" w:fill="FFFFFF"/>
            <w:noWrap/>
          </w:tcPr>
          <w:p w14:paraId="3878B60A">
            <w:pPr>
              <w:rPr>
                <w:rFonts w:ascii="Times New Roman" w:hAnsi="Times New Roman" w:cs="Times New Roman"/>
                <w:b w:val="0"/>
                <w:color w:val="000000"/>
                <w:sz w:val="20"/>
                <w:szCs w:val="20"/>
              </w:rPr>
            </w:pPr>
            <w:r>
              <w:rPr>
                <w:rFonts w:ascii="Times New Roman" w:hAnsi="Times New Roman" w:cs="Times New Roman"/>
                <w:b w:val="0"/>
                <w:color w:val="000000"/>
                <w:sz w:val="20"/>
                <w:szCs w:val="20"/>
              </w:rPr>
              <w:t>Excellent</w:t>
            </w:r>
          </w:p>
        </w:tc>
      </w:tr>
    </w:tbl>
    <w:p w14:paraId="008F708B">
      <w:pPr>
        <w:rPr>
          <w:rFonts w:hint="eastAsia"/>
          <w:lang w:val="en-US" w:eastAsia="zh-CN"/>
        </w:rPr>
      </w:pPr>
    </w:p>
    <w:p w14:paraId="0FC53B89">
      <w:pPr>
        <w:rPr>
          <w:rFonts w:hint="eastAsia" w:ascii="Times New Roman" w:hAnsi="Times New Roman" w:cs="Times New Roman"/>
          <w:sz w:val="20"/>
          <w:szCs w:val="20"/>
          <w:lang w:val="en-US" w:eastAsia="zh-CN"/>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689F504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F50A0"/>
    <w:rsid w:val="37FFA8E0"/>
    <w:rsid w:val="6BDF50A0"/>
    <w:rsid w:val="7FB7D44E"/>
    <w:rsid w:val="BFDF3508"/>
    <w:rsid w:val="DEEA8776"/>
    <w:rsid w:val="EDF87B4C"/>
    <w:rsid w:val="FEE56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2025-10-05T03:01:00Z</dcterms:created>
  <dc:creator>XXY</dc:creator>
  <cp:lastModifiedBy>XXY</cp:lastModifiedBy>
  <dcterms:modified xsi:type="dcterms:W3CDTF">2025-11-07T08:56:12Z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9BE1B7E7FE6279CF238EE068E7A43BF3_41</vt:lpwstr>
  </property>
</Properties>
</file>