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45208" w14:textId="77777777" w:rsidR="001837FA" w:rsidRPr="00A31324" w:rsidRDefault="001837FA" w:rsidP="001837FA">
      <w:pPr>
        <w:spacing w:line="360" w:lineRule="auto"/>
        <w:rPr>
          <w:rFonts w:ascii="Times New Roman" w:hAnsi="Times New Roman" w:cs="Times New Roman"/>
        </w:rPr>
      </w:pPr>
      <w:r w:rsidRPr="00A31324">
        <w:rPr>
          <w:rFonts w:ascii="Times New Roman" w:hAnsi="Times New Roman" w:cs="Times New Roman"/>
        </w:rPr>
        <w:t xml:space="preserve">Supplement of </w:t>
      </w:r>
    </w:p>
    <w:p w14:paraId="4F6BCE34" w14:textId="77777777" w:rsidR="001837FA" w:rsidRPr="00A31324" w:rsidRDefault="001837FA" w:rsidP="001837FA">
      <w:pPr>
        <w:spacing w:line="360" w:lineRule="auto"/>
        <w:rPr>
          <w:rFonts w:ascii="Times New Roman" w:hAnsi="Times New Roman" w:cs="Times New Roman"/>
          <w:b/>
          <w:bCs/>
          <w:sz w:val="28"/>
          <w:szCs w:val="28"/>
        </w:rPr>
      </w:pPr>
      <w:r w:rsidRPr="00A31324">
        <w:rPr>
          <w:rFonts w:ascii="Times New Roman" w:hAnsi="Times New Roman" w:cs="Times New Roman"/>
          <w:b/>
          <w:bCs/>
          <w:sz w:val="28"/>
          <w:szCs w:val="28"/>
        </w:rPr>
        <w:t>Macroseismic intensity probability in the context of Bayesian Natural Neighbours</w:t>
      </w:r>
    </w:p>
    <w:p w14:paraId="75D27DCC" w14:textId="77777777" w:rsidR="001837FA" w:rsidRPr="00A31324" w:rsidRDefault="001837FA" w:rsidP="001837FA">
      <w:pPr>
        <w:spacing w:line="360" w:lineRule="auto"/>
        <w:rPr>
          <w:rFonts w:ascii="Times New Roman" w:hAnsi="Times New Roman" w:cs="Times New Roman"/>
        </w:rPr>
      </w:pPr>
    </w:p>
    <w:p w14:paraId="2731044E" w14:textId="77777777" w:rsidR="001837FA" w:rsidRPr="00A31324" w:rsidRDefault="001837FA" w:rsidP="001837FA">
      <w:pPr>
        <w:spacing w:line="360" w:lineRule="auto"/>
        <w:rPr>
          <w:rFonts w:ascii="Times New Roman" w:hAnsi="Times New Roman" w:cs="Times New Roman"/>
        </w:rPr>
      </w:pPr>
      <w:r w:rsidRPr="00A31324">
        <w:rPr>
          <w:rFonts w:ascii="Times New Roman" w:hAnsi="Times New Roman" w:cs="Times New Roman"/>
        </w:rPr>
        <w:t>Franco Pettenati and Massimiliano Iurcev</w:t>
      </w:r>
    </w:p>
    <w:p w14:paraId="1E7EEE4B" w14:textId="77777777" w:rsidR="001837FA" w:rsidRPr="00A31324" w:rsidRDefault="001837FA" w:rsidP="001837FA">
      <w:pPr>
        <w:spacing w:line="360" w:lineRule="auto"/>
        <w:rPr>
          <w:rFonts w:ascii="Times New Roman" w:hAnsi="Times New Roman" w:cs="Times New Roman"/>
        </w:rPr>
      </w:pPr>
    </w:p>
    <w:p w14:paraId="06887171" w14:textId="77777777" w:rsidR="001837FA" w:rsidRPr="00A31324" w:rsidRDefault="001837FA" w:rsidP="001837FA">
      <w:pPr>
        <w:spacing w:line="360" w:lineRule="auto"/>
        <w:rPr>
          <w:rFonts w:ascii="Times New Roman" w:hAnsi="Times New Roman" w:cs="Times New Roman"/>
          <w:b/>
          <w:bCs/>
        </w:rPr>
      </w:pPr>
      <w:r w:rsidRPr="00A31324">
        <w:rPr>
          <w:rFonts w:ascii="Times New Roman" w:hAnsi="Times New Roman" w:cs="Times New Roman"/>
          <w:b/>
          <w:bCs/>
        </w:rPr>
        <w:t>S1 The sets of natural neighbours (NN) and their Voronoi configuration</w:t>
      </w:r>
    </w:p>
    <w:p w14:paraId="3B74A663" w14:textId="77777777" w:rsidR="001837FA" w:rsidRPr="00A31324" w:rsidRDefault="001837FA" w:rsidP="001837FA">
      <w:pPr>
        <w:spacing w:line="360" w:lineRule="auto"/>
        <w:rPr>
          <w:rFonts w:ascii="Times New Roman" w:hAnsi="Times New Roman" w:cs="Times New Roman"/>
        </w:rPr>
      </w:pPr>
      <w:r w:rsidRPr="00A31324">
        <w:rPr>
          <w:rFonts w:ascii="Times New Roman" w:hAnsi="Times New Roman" w:cs="Times New Roman"/>
        </w:rPr>
        <w:t xml:space="preserve">If we have a set of measure points </w:t>
      </w:r>
      <w:r w:rsidRPr="00801970">
        <w:rPr>
          <w:rFonts w:ascii="Times New Roman" w:hAnsi="Times New Roman" w:cs="Times New Roman"/>
        </w:rPr>
        <w:t>{</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801970">
        <w:rPr>
          <w:rFonts w:ascii="Times New Roman" w:hAnsi="Times New Roman" w:cs="Times New Roman"/>
        </w:rPr>
        <w:t xml:space="preserve">} in a Euclidean space </w:t>
      </w:r>
      <w:r w:rsidRPr="00801970">
        <w:t>Ω</w:t>
      </w:r>
      <w:r w:rsidRPr="00801970">
        <w:rPr>
          <w:rFonts w:ascii="Times New Roman" w:hAnsi="Times New Roman" w:cs="Times New Roman"/>
        </w:rPr>
        <w:t>, we have defined as  ‘</w:t>
      </w:r>
      <w:r w:rsidRPr="00801970">
        <w:rPr>
          <w:rFonts w:ascii="Times New Roman" w:hAnsi="Times New Roman" w:cs="Times New Roman"/>
          <w:i/>
          <w:iCs/>
        </w:rPr>
        <w:t>wreath’</w:t>
      </w:r>
      <w:r w:rsidRPr="00801970">
        <w:rPr>
          <w:rFonts w:ascii="Times New Roman" w:hAnsi="Times New Roman" w:cs="Times New Roman"/>
        </w:rPr>
        <w:t xml:space="preserve"> the pattern of neighbours Voronoi polygons of the control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801970">
        <w:rPr>
          <w:rFonts w:ascii="Times New Roman" w:hAnsi="Times New Roman" w:cs="Times New Roman"/>
        </w:rPr>
        <w:t>, associated to the set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801970">
        <w:rPr>
          <w:rFonts w:ascii="Times New Roman" w:hAnsi="Times New Roman" w:cs="Times New Roman"/>
        </w:rPr>
        <w:t xml:space="preserve">}. First, we </w:t>
      </w:r>
      <w:r w:rsidRPr="00A31324">
        <w:rPr>
          <w:rFonts w:ascii="Times New Roman" w:hAnsi="Times New Roman" w:cs="Times New Roman"/>
        </w:rPr>
        <w:t>can also define the trivial theorem:</w:t>
      </w:r>
    </w:p>
    <w:p w14:paraId="051FEF7F" w14:textId="77777777" w:rsidR="001837FA" w:rsidRPr="007C3F8F" w:rsidRDefault="001837FA" w:rsidP="001837FA">
      <w:pPr>
        <w:spacing w:line="360" w:lineRule="auto"/>
        <w:rPr>
          <w:rFonts w:ascii="Times New Roman" w:hAnsi="Times New Roman" w:cs="Times New Roman"/>
        </w:rPr>
      </w:pPr>
      <w:r w:rsidRPr="00A31324">
        <w:rPr>
          <w:rFonts w:ascii="Times New Roman" w:hAnsi="Times New Roman" w:cs="Times New Roman"/>
        </w:rPr>
        <w:t xml:space="preserve">Theorem S1: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801970">
        <w:rPr>
          <w:rFonts w:ascii="Times New Roman" w:hAnsi="Times New Roman" w:cs="Times New Roman"/>
        </w:rPr>
        <w:t xml:space="preserve"> and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oMath>
      <w:r w:rsidRPr="00801970">
        <w:rPr>
          <w:rFonts w:ascii="Times New Roman" w:hAnsi="Times New Roman" w:cs="Times New Roman"/>
        </w:rPr>
        <w:t xml:space="preserve"> are both natural neighbours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801970">
        <w:rPr>
          <w:rFonts w:ascii="Times New Roman" w:hAnsi="Times New Roman" w:cs="Times New Roman"/>
        </w:rPr>
        <w:t xml:space="preserve"> if and only if </w:t>
      </w:r>
      <w:r w:rsidRPr="00801970">
        <w:rPr>
          <w:rFonts w:ascii="Times New Roman" w:hAnsi="Times New Roman" w:cs="Times New Roman"/>
          <w:i/>
          <w:iCs/>
        </w:rPr>
        <w:t>arg</w:t>
      </w:r>
      <w:r w:rsidRPr="00801970">
        <w:rPr>
          <w:rFonts w:ascii="Times New Roman" w:hAnsi="Times New Roman" w:cs="Times New Roman"/>
        </w:rPr>
        <w:t xml:space="preserve">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801970">
        <w:rPr>
          <w:rFonts w:ascii="Times New Roman" w:hAnsi="Times New Roman" w:cs="Times New Roman"/>
        </w:rPr>
        <w:t xml:space="preserve"> - </w:t>
      </w:r>
      <w:r w:rsidRPr="00A31324">
        <w:rPr>
          <w:rFonts w:ascii="Times New Roman" w:hAnsi="Times New Roman" w:cs="Times New Roman"/>
          <w:b/>
          <w:bCs/>
          <w:i/>
          <w:iCs/>
        </w:rPr>
        <w:t>x*</w:t>
      </w:r>
      <w:r w:rsidRPr="00801970">
        <w:rPr>
          <w:rFonts w:ascii="Times New Roman" w:hAnsi="Times New Roman" w:cs="Times New Roman"/>
        </w:rPr>
        <w:t xml:space="preserve">) ≠ </w:t>
      </w:r>
      <w:r w:rsidRPr="00801970">
        <w:rPr>
          <w:rFonts w:ascii="Times New Roman" w:hAnsi="Times New Roman" w:cs="Times New Roman"/>
          <w:i/>
          <w:iCs/>
        </w:rPr>
        <w:t>arg</w:t>
      </w:r>
      <w:r w:rsidRPr="00801970">
        <w:rPr>
          <w:rFonts w:ascii="Times New Roman" w:hAnsi="Times New Roman" w:cs="Times New Roman"/>
        </w:rPr>
        <w:t xml:space="preserve">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oMath>
      <w:r w:rsidRPr="00801970">
        <w:rPr>
          <w:rFonts w:ascii="Times New Roman" w:hAnsi="Times New Roman" w:cs="Times New Roman"/>
        </w:rPr>
        <w:t xml:space="preserve"> -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801970">
        <w:rPr>
          <w:rFonts w:ascii="Times New Roman" w:hAnsi="Times New Roman" w:cs="Times New Roman"/>
        </w:rPr>
        <w:t>) with the corollary that the natural neighbours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801970">
        <w:rPr>
          <w:rFonts w:ascii="Times New Roman" w:hAnsi="Times New Roman" w:cs="Times New Roman"/>
        </w:rPr>
        <w:t xml:space="preserve">}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b/>
          <w:bCs/>
          <w:i/>
          <w:iCs/>
        </w:rPr>
        <w:t xml:space="preserve"> </w:t>
      </w:r>
      <w:r w:rsidRPr="00801970">
        <w:rPr>
          <w:rFonts w:ascii="Times New Roman" w:hAnsi="Times New Roman" w:cs="Times New Roman"/>
        </w:rPr>
        <w:t xml:space="preserve">are uniquely ordered vertices of a non-convex polygon (see Fig. S1a the </w:t>
      </w:r>
      <w:r w:rsidRPr="00801970">
        <w:rPr>
          <w:rFonts w:ascii="Times New Roman" w:hAnsi="Times New Roman" w:cs="Times New Roman"/>
          <w:i/>
          <w:iCs/>
        </w:rPr>
        <w:t>wreath</w:t>
      </w:r>
      <w:r w:rsidRPr="00801970">
        <w:rPr>
          <w:rFonts w:ascii="Times New Roman" w:hAnsi="Times New Roman" w:cs="Times New Roman"/>
        </w:rPr>
        <w:t xml:space="preserve"> </w:t>
      </w:r>
      <w:r w:rsidRPr="00A31324">
        <w:rPr>
          <w:rFonts w:ascii="Times New Roman" w:hAnsi="Times New Roman" w:cs="Times New Roman"/>
        </w:rPr>
        <w:t>coloured</w:t>
      </w:r>
      <w:r w:rsidRPr="007C3F8F">
        <w:rPr>
          <w:rFonts w:ascii="Times New Roman" w:hAnsi="Times New Roman" w:cs="Times New Roman"/>
        </w:rPr>
        <w:t xml:space="preserve"> magenta in the centre of the figure).</w:t>
      </w:r>
    </w:p>
    <w:p w14:paraId="35339236" w14:textId="77777777" w:rsidR="001837FA" w:rsidRPr="00A31324" w:rsidRDefault="001837FA" w:rsidP="001837FA">
      <w:pPr>
        <w:spacing w:line="360" w:lineRule="auto"/>
        <w:rPr>
          <w:rFonts w:ascii="Times New Roman" w:hAnsi="Times New Roman" w:cs="Times New Roman"/>
        </w:rPr>
      </w:pPr>
      <w:r>
        <w:rPr>
          <w:rFonts w:ascii="Times New Roman" w:hAnsi="Times New Roman" w:cs="Times New Roman"/>
        </w:rPr>
        <w:t xml:space="preserve">Once </w:t>
      </w:r>
      <w:r w:rsidRPr="007C3F8F">
        <w:rPr>
          <w:rFonts w:ascii="Times New Roman" w:hAnsi="Times New Roman" w:cs="Times New Roman"/>
        </w:rPr>
        <w:t xml:space="preserve">the </w:t>
      </w:r>
      <w:r w:rsidRPr="00FD123B">
        <w:rPr>
          <w:rFonts w:ascii="Times New Roman" w:hAnsi="Times New Roman" w:cs="Times New Roman"/>
        </w:rPr>
        <w:t xml:space="preserve">control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BA4CF7">
        <w:rPr>
          <w:rFonts w:ascii="Times New Roman" w:eastAsiaTheme="minorEastAsia" w:hAnsi="Times New Roman" w:cs="Times New Roman"/>
          <w:iCs/>
        </w:rPr>
        <w:t xml:space="preserve">has been </w:t>
      </w:r>
      <w:r w:rsidRPr="007C3F8F">
        <w:rPr>
          <w:rFonts w:ascii="Times New Roman" w:hAnsi="Times New Roman" w:cs="Times New Roman"/>
        </w:rPr>
        <w:t>chose</w:t>
      </w:r>
      <w:r>
        <w:rPr>
          <w:rFonts w:ascii="Times New Roman" w:hAnsi="Times New Roman" w:cs="Times New Roman"/>
        </w:rPr>
        <w:t>n</w:t>
      </w:r>
      <w:r w:rsidRPr="00FD123B">
        <w:rPr>
          <w:rFonts w:ascii="Times New Roman" w:hAnsi="Times New Roman" w:cs="Times New Roman"/>
        </w:rPr>
        <w:t xml:space="preserve">, </w:t>
      </w:r>
      <w:r>
        <w:rPr>
          <w:rFonts w:ascii="Times New Roman" w:hAnsi="Times New Roman" w:cs="Times New Roman"/>
        </w:rPr>
        <w:t>which lies with</w:t>
      </w:r>
      <w:r w:rsidRPr="00FD123B">
        <w:rPr>
          <w:rFonts w:ascii="Times New Roman" w:hAnsi="Times New Roman" w:cs="Times New Roman"/>
        </w:rPr>
        <w:t xml:space="preserve">in a polygon of the </w:t>
      </w:r>
      <w:r w:rsidRPr="00FD123B">
        <w:rPr>
          <w:rFonts w:ascii="Times New Roman" w:hAnsi="Times New Roman" w:cs="Times New Roman"/>
          <w:i/>
          <w:iCs/>
        </w:rPr>
        <w:t>wreath</w:t>
      </w:r>
      <w:r w:rsidRPr="00FD123B">
        <w:rPr>
          <w:rFonts w:ascii="Times New Roman" w:hAnsi="Times New Roman" w:cs="Times New Roman"/>
        </w:rPr>
        <w:t>, it define</w:t>
      </w:r>
      <w:r>
        <w:rPr>
          <w:rFonts w:ascii="Times New Roman" w:hAnsi="Times New Roman" w:cs="Times New Roman"/>
        </w:rPr>
        <w:t>s</w:t>
      </w:r>
      <w:r w:rsidRPr="00FD123B">
        <w:rPr>
          <w:rFonts w:ascii="Times New Roman" w:hAnsi="Times New Roman" w:cs="Times New Roman"/>
        </w:rPr>
        <w:t xml:space="preserve"> </w:t>
      </w:r>
      <w:r>
        <w:rPr>
          <w:rFonts w:ascii="Times New Roman" w:hAnsi="Times New Roman" w:cs="Times New Roman"/>
        </w:rPr>
        <w:t>the</w:t>
      </w:r>
      <w:r w:rsidRPr="00FD123B">
        <w:rPr>
          <w:rFonts w:ascii="Times New Roman" w:hAnsi="Times New Roman" w:cs="Times New Roman"/>
        </w:rPr>
        <w:t xml:space="preserve"> ‘</w:t>
      </w:r>
      <w:r w:rsidRPr="00FD123B">
        <w:rPr>
          <w:rFonts w:ascii="Times New Roman" w:hAnsi="Times New Roman" w:cs="Times New Roman"/>
          <w:i/>
          <w:iCs/>
        </w:rPr>
        <w:t>wreath-order’</w:t>
      </w:r>
      <w:r w:rsidRPr="00FD123B">
        <w:rPr>
          <w:rFonts w:ascii="Times New Roman" w:hAnsi="Times New Roman" w:cs="Times New Roman"/>
        </w:rPr>
        <w:t xml:space="preserve"> as ω = </w:t>
      </w:r>
      <w:r w:rsidRPr="00FD123B">
        <w:rPr>
          <w:rFonts w:ascii="Times New Roman" w:hAnsi="Times New Roman" w:cs="Times New Roman"/>
          <w:i/>
          <w:iCs/>
        </w:rPr>
        <w:t>0</w:t>
      </w:r>
      <w:r w:rsidRPr="00FD123B">
        <w:rPr>
          <w:rFonts w:ascii="Times New Roman" w:hAnsi="Times New Roman" w:cs="Times New Roman"/>
        </w:rPr>
        <w:t xml:space="preserve">. The polygons adjacent to order-0 are defined as order-1, the polygons adjacent to a polygon of ω = 1 are defined as order-2 and so on. It is trivial that: </w:t>
      </w:r>
      <m:oMath>
        <m:sSub>
          <m:sSubPr>
            <m:ctrlPr>
              <w:rPr>
                <w:rFonts w:ascii="Cambria Math" w:hAnsi="Cambria Math" w:cs="Times New Roman"/>
                <w:i/>
                <w:iCs/>
              </w:rPr>
            </m:ctrlPr>
          </m:sSubPr>
          <m:e>
            <m:r>
              <w:rPr>
                <w:rFonts w:ascii="Cambria Math" w:hAnsi="Cambria Math" w:cs="Times New Roman"/>
              </w:rPr>
              <m:t>ω</m:t>
            </m:r>
          </m:e>
          <m:sub>
            <m:r>
              <w:rPr>
                <w:rFonts w:ascii="Cambria Math" w:hAnsi="Cambria Math" w:cs="Times New Roman"/>
              </w:rPr>
              <m:t>i</m:t>
            </m:r>
          </m:sub>
        </m:sSub>
        <m:r>
          <w:rPr>
            <w:rFonts w:ascii="Cambria Math" w:hAnsi="Cambria Math" w:cs="Times New Roman"/>
          </w:rPr>
          <m:t>=0⟺i=</m:t>
        </m:r>
        <m:func>
          <m:funcPr>
            <m:ctrlPr>
              <w:rPr>
                <w:rFonts w:ascii="Cambria Math" w:hAnsi="Cambria Math" w:cs="Times New Roman"/>
                <w:i/>
                <w:iCs/>
              </w:rPr>
            </m:ctrlPr>
          </m:funcPr>
          <m:fName>
            <m:limLow>
              <m:limLowPr>
                <m:ctrlPr>
                  <w:rPr>
                    <w:rFonts w:ascii="Cambria Math" w:hAnsi="Cambria Math" w:cs="Times New Roman"/>
                    <w:i/>
                    <w:iCs/>
                  </w:rPr>
                </m:ctrlPr>
              </m:limLowPr>
              <m:e>
                <m:r>
                  <m:rPr>
                    <m:sty m:val="p"/>
                  </m:rPr>
                  <w:rPr>
                    <w:rFonts w:ascii="Cambria Math" w:hAnsi="Cambria Math" w:cs="Times New Roman"/>
                  </w:rPr>
                  <m:t>argmin</m:t>
                </m:r>
              </m:e>
              <m:lim>
                <m:r>
                  <w:rPr>
                    <w:rFonts w:ascii="Cambria Math" w:hAnsi="Cambria Math" w:cs="Times New Roman"/>
                  </w:rPr>
                  <m:t>j</m:t>
                </m:r>
              </m:lim>
            </m:limLow>
          </m:fName>
          <m:e>
            <m:r>
              <w:rPr>
                <w:rFonts w:ascii="Cambria Math" w:hAnsi="Cambria Math" w:cs="Times New Roman"/>
              </w:rPr>
              <m:t>d</m:t>
            </m:r>
            <m:d>
              <m:dPr>
                <m:ctrlPr>
                  <w:rPr>
                    <w:rFonts w:ascii="Cambria Math" w:hAnsi="Cambria Math" w:cs="Times New Roman"/>
                    <w:i/>
                    <w:iCs/>
                  </w:rPr>
                </m:ctrlPr>
              </m:dPr>
              <m:e>
                <m:sSub>
                  <m:sSubPr>
                    <m:ctrlPr>
                      <w:rPr>
                        <w:rFonts w:ascii="Cambria Math" w:hAnsi="Cambria Math" w:cs="Times New Roman"/>
                        <w:i/>
                        <w:iCs/>
                      </w:rPr>
                    </m:ctrlPr>
                  </m:sSubPr>
                  <m:e>
                    <m:r>
                      <m:rPr>
                        <m:sty m:val="bi"/>
                      </m:rPr>
                      <w:rPr>
                        <w:rFonts w:ascii="Cambria Math" w:hAnsi="Cambria Math" w:cs="Times New Roman"/>
                      </w:rPr>
                      <m:t>x</m:t>
                    </m:r>
                  </m:e>
                  <m:sub>
                    <m:r>
                      <w:rPr>
                        <w:rFonts w:ascii="Cambria Math" w:hAnsi="Cambria Math" w:cs="Times New Roman"/>
                      </w:rPr>
                      <m:t>j</m:t>
                    </m:r>
                  </m:sub>
                </m:sSub>
                <m:r>
                  <w:rPr>
                    <w:rFonts w:ascii="Cambria Math" w:hAnsi="Cambria Math" w:cs="Times New Roman"/>
                  </w:rPr>
                  <m:t>-</m:t>
                </m:r>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e>
            </m:d>
          </m:e>
        </m:func>
      </m:oMath>
      <w:r w:rsidRPr="00B960CA">
        <w:rPr>
          <w:rFonts w:ascii="Times New Roman" w:eastAsiaTheme="minorEastAsia" w:hAnsi="Times New Roman" w:cs="Times New Roman"/>
          <w:iCs/>
        </w:rPr>
        <w:t xml:space="preserve">. </w:t>
      </w:r>
      <w:r w:rsidRPr="00B960CA">
        <w:rPr>
          <w:rFonts w:ascii="Times New Roman" w:hAnsi="Times New Roman" w:cs="Times New Roman"/>
        </w:rPr>
        <w:t xml:space="preserve">It is important to have the maximum </w:t>
      </w:r>
      <w:r w:rsidRPr="00B960CA">
        <w:rPr>
          <w:rFonts w:ascii="Times New Roman" w:hAnsi="Times New Roman" w:cs="Times New Roman"/>
          <w:i/>
          <w:iCs/>
        </w:rPr>
        <w:t>wreath-order</w:t>
      </w:r>
      <w:r w:rsidRPr="00B960CA">
        <w:rPr>
          <w:rFonts w:ascii="Times New Roman" w:hAnsi="Times New Roman" w:cs="Times New Roman"/>
        </w:rPr>
        <w:t xml:space="preserve"> ω</w:t>
      </w:r>
      <w:r w:rsidRPr="00B960CA">
        <w:rPr>
          <w:rFonts w:ascii="Times New Roman" w:hAnsi="Times New Roman" w:cs="Times New Roman"/>
          <w:vertAlign w:val="subscript"/>
        </w:rPr>
        <w:t>max</w:t>
      </w:r>
      <w:r w:rsidRPr="00B960CA">
        <w:rPr>
          <w:rFonts w:ascii="Times New Roman" w:hAnsi="Times New Roman" w:cs="Times New Roman"/>
        </w:rPr>
        <w:t xml:space="preserve"> to check the minimum influence that the configuration of the NN can have. For this purpose, we computed all these parameters for several different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B960CA">
        <w:rPr>
          <w:rFonts w:ascii="Times New Roman" w:hAnsi="Times New Roman" w:cs="Times New Roman"/>
        </w:rPr>
        <w:t>, regularly distributed (not randomly) on a grid contained in [0.05, 0.95]</w:t>
      </w:r>
      <w:r w:rsidRPr="00B960CA">
        <w:rPr>
          <w:rFonts w:ascii="Times New Roman" w:hAnsi="Times New Roman" w:cs="Times New Roman"/>
          <w:vertAlign w:val="superscript"/>
        </w:rPr>
        <w:t>2</w:t>
      </w:r>
      <w:r w:rsidRPr="00B960CA">
        <w:rPr>
          <w:rFonts w:ascii="Times New Roman" w:hAnsi="Times New Roman" w:cs="Times New Roman"/>
        </w:rPr>
        <w:t xml:space="preserve"> (2500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B960CA">
        <w:rPr>
          <w:rFonts w:ascii="Times New Roman" w:hAnsi="Times New Roman" w:cs="Times New Roman"/>
        </w:rPr>
        <w:t xml:space="preserve">), in order to avoid Voronoi effects at the border and 5000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B960CA">
        <w:rPr>
          <w:rFonts w:ascii="Times New Roman" w:hAnsi="Times New Roman" w:cs="Times New Roman"/>
        </w:rPr>
        <w:t xml:space="preserve"> Poisson distribution points (Fig. S1a). Table 1 summaries the results, and Figs S1b,c show the statistics. Fig. S1b, is the distribution of sides of all polygons, while Fig. S1c shows the statistics of  </w:t>
      </w:r>
      <w:r w:rsidRPr="00B960CA">
        <w:rPr>
          <w:rFonts w:ascii="Times New Roman" w:hAnsi="Times New Roman" w:cs="Times New Roman"/>
          <w:i/>
          <w:iCs/>
        </w:rPr>
        <w:t>wreath-order</w:t>
      </w:r>
      <w:r w:rsidRPr="00B960CA">
        <w:rPr>
          <w:rFonts w:ascii="Times New Roman" w:hAnsi="Times New Roman" w:cs="Times New Roman"/>
        </w:rPr>
        <w:t xml:space="preserve"> ω. In this simple experiment there is one case of order ω = 4 as for the case of Fig. 1b. The minimum shift of the location of a datapoint can modify the shape and the area of the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B960CA">
        <w:rPr>
          <w:rFonts w:ascii="Times New Roman" w:hAnsi="Times New Roman" w:cs="Times New Roman"/>
        </w:rPr>
        <w:t xml:space="preserve"> </w:t>
      </w:r>
      <w:r w:rsidRPr="00A31324">
        <w:rPr>
          <w:rFonts w:ascii="Times New Roman" w:hAnsi="Times New Roman" w:cs="Times New Roman"/>
        </w:rPr>
        <w:t xml:space="preserve">second-order polygon.  See also </w:t>
      </w:r>
      <w:r>
        <w:rPr>
          <w:rFonts w:ascii="Times New Roman" w:hAnsi="Times New Roman" w:cs="Times New Roman"/>
        </w:rPr>
        <w:t>f</w:t>
      </w:r>
      <w:r w:rsidRPr="00A31324">
        <w:rPr>
          <w:rFonts w:ascii="Times New Roman" w:hAnsi="Times New Roman" w:cs="Times New Roman"/>
        </w:rPr>
        <w:t>igure 2 (which resembles an abstract painting) in the article Iurcev and Pettenati (2023).</w:t>
      </w:r>
    </w:p>
    <w:p w14:paraId="167CE881" w14:textId="77777777" w:rsidR="001837FA" w:rsidRPr="004D3025" w:rsidRDefault="001837FA" w:rsidP="001837FA">
      <w:pPr>
        <w:spacing w:line="360" w:lineRule="auto"/>
        <w:rPr>
          <w:rFonts w:ascii="Times New Roman" w:hAnsi="Times New Roman" w:cs="Times New Roman"/>
        </w:rPr>
      </w:pPr>
      <w:r w:rsidRPr="004D3025">
        <w:rPr>
          <w:rFonts w:ascii="Times New Roman" w:hAnsi="Times New Roman" w:cs="Times New Roman"/>
          <w:noProof/>
        </w:rPr>
        <w:lastRenderedPageBreak/>
        <w:drawing>
          <wp:inline distT="0" distB="0" distL="0" distR="0" wp14:anchorId="7B699138" wp14:editId="1BF50855">
            <wp:extent cx="6096000" cy="3429000"/>
            <wp:effectExtent l="0" t="0" r="0" b="0"/>
            <wp:docPr id="17762744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50F049E5" w14:textId="77777777" w:rsidR="001837FA" w:rsidRPr="004D3025" w:rsidRDefault="001837FA" w:rsidP="001837FA">
      <w:pPr>
        <w:spacing w:line="240" w:lineRule="auto"/>
        <w:rPr>
          <w:rFonts w:ascii="Times New Roman" w:hAnsi="Times New Roman" w:cs="Times New Roman"/>
        </w:rPr>
      </w:pPr>
      <w:r w:rsidRPr="004D3025">
        <w:rPr>
          <w:rFonts w:ascii="Times New Roman" w:hAnsi="Times New Roman" w:cs="Times New Roman"/>
          <w:b/>
          <w:bCs/>
        </w:rPr>
        <w:t>Fig. S1:</w:t>
      </w:r>
      <w:r w:rsidRPr="004D3025">
        <w:rPr>
          <w:rFonts w:ascii="Times New Roman" w:hAnsi="Times New Roman" w:cs="Times New Roman"/>
        </w:rPr>
        <w:t xml:space="preserve"> Statistics of Voronoi tessellation; </w:t>
      </w:r>
      <w:r w:rsidRPr="004D3025">
        <w:rPr>
          <w:rFonts w:ascii="Times New Roman" w:hAnsi="Times New Roman" w:cs="Times New Roman"/>
          <w:b/>
          <w:bCs/>
        </w:rPr>
        <w:t>a)</w:t>
      </w:r>
      <w:r w:rsidRPr="004D3025">
        <w:rPr>
          <w:rFonts w:ascii="Times New Roman" w:hAnsi="Times New Roman" w:cs="Times New Roman"/>
        </w:rPr>
        <w:t xml:space="preserve"> 5,000 data points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oMath>
      <w:r w:rsidRPr="004D3025">
        <w:rPr>
          <w:rFonts w:ascii="Times New Roman" w:hAnsi="Times New Roman" w:cs="Times New Roman"/>
        </w:rPr>
        <w:t xml:space="preserve">) are randomly Poisson distributed on a convex region of length 1 x 1. The polygons shown in magenta form a </w:t>
      </w:r>
      <w:r w:rsidRPr="00A31324">
        <w:rPr>
          <w:rFonts w:ascii="Times New Roman" w:hAnsi="Times New Roman" w:cs="Times New Roman"/>
          <w:i/>
          <w:iCs/>
        </w:rPr>
        <w:t>wreath</w:t>
      </w:r>
      <w:r w:rsidRPr="00A31324">
        <w:rPr>
          <w:rFonts w:ascii="Times New Roman" w:hAnsi="Times New Roman" w:cs="Times New Roman"/>
        </w:rPr>
        <w:t xml:space="preserve"> to illustrate theorem 1; </w:t>
      </w:r>
      <w:r w:rsidRPr="00A31324">
        <w:rPr>
          <w:rFonts w:ascii="Times New Roman" w:hAnsi="Times New Roman" w:cs="Times New Roman"/>
          <w:b/>
          <w:bCs/>
        </w:rPr>
        <w:t>b)</w:t>
      </w:r>
      <w:r w:rsidRPr="00A31324">
        <w:rPr>
          <w:rFonts w:ascii="Times New Roman" w:hAnsi="Times New Roman" w:cs="Times New Roman"/>
        </w:rPr>
        <w:t xml:space="preserve"> histogram of side distribution of the second-order Voronoi polygons for control points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located on a 50 x 50 grid within the rectangle </w:t>
      </w:r>
      <w:r w:rsidRPr="004D3025">
        <w:rPr>
          <w:rFonts w:ascii="Times New Roman" w:hAnsi="Times New Roman" w:cs="Times New Roman"/>
        </w:rPr>
        <w:t xml:space="preserve">[0.05, 0.95] for each side; </w:t>
      </w:r>
      <w:r w:rsidRPr="004D3025">
        <w:rPr>
          <w:rFonts w:ascii="Times New Roman" w:hAnsi="Times New Roman" w:cs="Times New Roman"/>
          <w:b/>
          <w:bCs/>
        </w:rPr>
        <w:t>c)</w:t>
      </w:r>
      <w:r w:rsidRPr="004D3025">
        <w:rPr>
          <w:rFonts w:ascii="Times New Roman" w:hAnsi="Times New Roman" w:cs="Times New Roman"/>
        </w:rPr>
        <w:t xml:space="preserve"> histogram of the </w:t>
      </w:r>
      <w:r w:rsidRPr="00A31324">
        <w:rPr>
          <w:rFonts w:ascii="Times New Roman" w:hAnsi="Times New Roman" w:cs="Times New Roman"/>
        </w:rPr>
        <w:t xml:space="preserve"> ‘</w:t>
      </w:r>
      <w:r w:rsidRPr="00A31324">
        <w:rPr>
          <w:rFonts w:ascii="Times New Roman" w:hAnsi="Times New Roman" w:cs="Times New Roman"/>
          <w:i/>
          <w:iCs/>
        </w:rPr>
        <w:t>wreath-order’</w:t>
      </w:r>
      <w:r w:rsidRPr="00A31324">
        <w:rPr>
          <w:rFonts w:ascii="Times New Roman" w:hAnsi="Times New Roman" w:cs="Times New Roman"/>
        </w:rPr>
        <w:t xml:space="preserve"> for the second-order Voronoi polygons shown Fig. S1b.</w:t>
      </w:r>
    </w:p>
    <w:p w14:paraId="2D4FB667" w14:textId="77777777" w:rsidR="001837FA" w:rsidRPr="004D3025" w:rsidRDefault="001837FA" w:rsidP="001837FA">
      <w:pPr>
        <w:spacing w:line="360" w:lineRule="auto"/>
        <w:rPr>
          <w:rFonts w:ascii="Times New Roman" w:hAnsi="Times New Roman" w:cs="Times New Roman"/>
        </w:rPr>
      </w:pPr>
    </w:p>
    <w:p w14:paraId="66154995" w14:textId="16EA6112" w:rsidR="001837FA" w:rsidRPr="00A31324" w:rsidRDefault="001837FA" w:rsidP="001837FA">
      <w:pPr>
        <w:spacing w:line="360" w:lineRule="auto"/>
        <w:rPr>
          <w:rFonts w:ascii="Times New Roman" w:hAnsi="Times New Roman" w:cs="Times New Roman"/>
          <w:b/>
          <w:bCs/>
        </w:rPr>
      </w:pPr>
      <w:r w:rsidRPr="00A31324">
        <w:rPr>
          <w:rFonts w:ascii="Times New Roman" w:hAnsi="Times New Roman" w:cs="Times New Roman"/>
          <w:b/>
          <w:bCs/>
        </w:rPr>
        <w:t xml:space="preserve">S2 </w:t>
      </w:r>
      <w:r w:rsidR="00C478BD" w:rsidRPr="00C478BD">
        <w:rPr>
          <w:rFonts w:ascii="Times New Roman" w:hAnsi="Times New Roman" w:cs="Times New Roman"/>
          <w:b/>
          <w:bCs/>
        </w:rPr>
        <w:t>Topological interpretation in one and two dimensions</w:t>
      </w:r>
    </w:p>
    <w:p w14:paraId="59B4D3DC" w14:textId="77777777" w:rsidR="001837FA" w:rsidRPr="00A31324" w:rsidRDefault="001837FA" w:rsidP="001837FA">
      <w:pPr>
        <w:spacing w:line="360" w:lineRule="auto"/>
        <w:rPr>
          <w:rFonts w:ascii="Times New Roman" w:hAnsi="Times New Roman" w:cs="Times New Roman"/>
        </w:rPr>
      </w:pPr>
      <w:r w:rsidRPr="00A31324">
        <w:rPr>
          <w:rFonts w:ascii="Times New Roman" w:hAnsi="Times New Roman" w:cs="Times New Roman"/>
        </w:rPr>
        <w:t xml:space="preserve">The analytic treatment Voronoi in </w:t>
      </w:r>
      <w:r w:rsidRPr="004D3025">
        <w:rPr>
          <w:rFonts w:ascii="Times New Roman" w:hAnsi="Times New Roman" w:cs="Times New Roman"/>
        </w:rPr>
        <w:t>ℝ</w:t>
      </w:r>
      <w:r w:rsidRPr="00A31324">
        <w:rPr>
          <w:rFonts w:ascii="Times New Roman" w:hAnsi="Times New Roman" w:cs="Times New Roman"/>
        </w:rPr>
        <w:t xml:space="preserve"> is trivial, it obviously only includes two items, and the result is an equation of a straight line (y = a + b x). Fig. S2a, shows the space of events Ω is the segment </w:t>
      </w:r>
      <m:oMath>
        <m:acc>
          <m:accPr>
            <m:chr m:val="̅"/>
            <m:ctrlPr>
              <w:rPr>
                <w:rFonts w:ascii="Cambria Math" w:hAnsi="Cambria Math" w:cs="Times New Roman"/>
                <w:i/>
              </w:rPr>
            </m:ctrlPr>
          </m:accPr>
          <m:e>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a</m:t>
                </m:r>
              </m:sub>
            </m:sSub>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b</m:t>
                </m:r>
              </m:sub>
            </m:sSub>
          </m:e>
        </m:acc>
      </m:oMath>
      <w:r w:rsidRPr="00A31324">
        <w:rPr>
          <w:rFonts w:ascii="Times New Roman" w:eastAsiaTheme="minorEastAsia" w:hAnsi="Times New Roman" w:cs="Times New Roman"/>
        </w:rPr>
        <w:t xml:space="preserve"> , where points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oMath>
      <w:r w:rsidRPr="00A31324">
        <w:rPr>
          <w:rFonts w:ascii="Times New Roman" w:hAnsi="Times New Roman" w:cs="Times New Roman"/>
        </w:rPr>
        <w:t xml:space="preserve"> and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2</m:t>
            </m:r>
          </m:sub>
        </m:sSub>
      </m:oMath>
      <w:r w:rsidRPr="00A31324">
        <w:rPr>
          <w:rFonts w:ascii="Times New Roman" w:eastAsiaTheme="minorEastAsia" w:hAnsi="Times New Roman" w:cs="Times New Roman"/>
        </w:rPr>
        <w:t xml:space="preserve"> are located with the measurements </w:t>
      </w:r>
      <m:oMath>
        <m:sSub>
          <m:sSubPr>
            <m:ctrlPr>
              <w:rPr>
                <w:rFonts w:ascii="Cambria Math" w:hAnsi="Cambria Math" w:cs="Times New Roman"/>
                <w:i/>
              </w:rPr>
            </m:ctrlPr>
          </m:sSubPr>
          <m:e>
            <m:r>
              <m:rPr>
                <m:sty m:val="bi"/>
              </m:rPr>
              <w:rPr>
                <w:rFonts w:ascii="Cambria Math" w:hAnsi="Cambria Math" w:cs="Times New Roman"/>
              </w:rPr>
              <m:t>Y</m:t>
            </m:r>
          </m:e>
          <m:sub>
            <m:r>
              <w:rPr>
                <w:rFonts w:ascii="Cambria Math" w:hAnsi="Cambria Math" w:cs="Times New Roman"/>
              </w:rPr>
              <m:t>1</m:t>
            </m:r>
          </m:sub>
        </m:sSub>
      </m:oMath>
      <w:r w:rsidRPr="00A31324">
        <w:rPr>
          <w:rFonts w:ascii="Times New Roman" w:hAnsi="Times New Roman" w:cs="Times New Roman"/>
        </w:rPr>
        <w:t xml:space="preserve"> and </w:t>
      </w:r>
      <m:oMath>
        <m:sSub>
          <m:sSubPr>
            <m:ctrlPr>
              <w:rPr>
                <w:rFonts w:ascii="Cambria Math" w:hAnsi="Cambria Math" w:cs="Times New Roman"/>
                <w:i/>
              </w:rPr>
            </m:ctrlPr>
          </m:sSubPr>
          <m:e>
            <m:r>
              <m:rPr>
                <m:sty m:val="bi"/>
              </m:rPr>
              <w:rPr>
                <w:rFonts w:ascii="Cambria Math" w:hAnsi="Cambria Math" w:cs="Times New Roman"/>
              </w:rPr>
              <m:t>Y</m:t>
            </m:r>
          </m:e>
          <m:sub>
            <m:r>
              <w:rPr>
                <w:rFonts w:ascii="Cambria Math" w:hAnsi="Cambria Math" w:cs="Times New Roman"/>
              </w:rPr>
              <m:t>2</m:t>
            </m:r>
          </m:sub>
        </m:sSub>
      </m:oMath>
      <w:r w:rsidRPr="00A31324">
        <w:rPr>
          <w:rFonts w:ascii="Times New Roman" w:eastAsiaTheme="minorEastAsia" w:hAnsi="Times New Roman" w:cs="Times New Roman"/>
        </w:rPr>
        <w:t>. The two horizontal bars in grey tonality are the Voronoi</w:t>
      </w:r>
      <w:r>
        <w:rPr>
          <w:rFonts w:ascii="Times New Roman" w:eastAsiaTheme="minorEastAsia" w:hAnsi="Times New Roman" w:cs="Times New Roman"/>
        </w:rPr>
        <w:t xml:space="preserve"> ‘segments’</w:t>
      </w:r>
      <w:r w:rsidRPr="00A31324">
        <w:rPr>
          <w:rFonts w:ascii="Times New Roman" w:eastAsiaTheme="minorEastAsia" w:hAnsi="Times New Roman" w:cs="Times New Roman"/>
        </w:rPr>
        <w:t xml:space="preserve"> of points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oMath>
      <w:r w:rsidRPr="00A31324">
        <w:rPr>
          <w:rFonts w:ascii="Times New Roman" w:hAnsi="Times New Roman" w:cs="Times New Roman"/>
        </w:rPr>
        <w:t xml:space="preserve"> and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2</m:t>
            </m:r>
          </m:sub>
        </m:sSub>
      </m:oMath>
      <w:r w:rsidRPr="00A31324">
        <w:rPr>
          <w:rFonts w:ascii="Times New Roman" w:hAnsi="Times New Roman" w:cs="Times New Roman"/>
        </w:rPr>
        <w:t xml:space="preserve">. If we consider,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the investigation point, the white </w:t>
      </w:r>
      <w:r>
        <w:rPr>
          <w:rFonts w:ascii="Times New Roman" w:hAnsi="Times New Roman" w:cs="Times New Roman"/>
        </w:rPr>
        <w:t xml:space="preserve">higher </w:t>
      </w:r>
      <w:r w:rsidRPr="00A31324">
        <w:rPr>
          <w:rFonts w:ascii="Times New Roman" w:hAnsi="Times New Roman" w:cs="Times New Roman"/>
        </w:rPr>
        <w:t xml:space="preserve">bar is its second-order Voronoi of length </w:t>
      </w:r>
      <m:oMath>
        <m:r>
          <w:rPr>
            <w:rFonts w:ascii="Cambria Math" w:hAnsi="Cambria Math" w:cs="Times New Roman"/>
          </w:rPr>
          <m:t>Ax</m:t>
        </m:r>
      </m:oMath>
      <w:r w:rsidRPr="00A31324">
        <w:rPr>
          <w:rFonts w:ascii="Times New Roman" w:hAnsi="Times New Roman" w:cs="Times New Roman"/>
        </w:rPr>
        <w:t xml:space="preserve"> (S1). </w:t>
      </w:r>
      <w:r w:rsidRPr="00A31324">
        <w:rPr>
          <w:rFonts w:ascii="Times New Roman" w:eastAsiaTheme="minorEastAsia" w:hAnsi="Times New Roman" w:cs="Times New Roman"/>
        </w:rPr>
        <w:t xml:space="preserve">The values of the linear Sibson (1981) weights are obtained by formulas S3a and S3b. Of course, the trend of the values (S4), for the variable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rPr>
        <w:t xml:space="preserve"> moving form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oMath>
      <w:r w:rsidRPr="00A31324">
        <w:rPr>
          <w:rFonts w:ascii="Times New Roman" w:hAnsi="Times New Roman" w:cs="Times New Roman"/>
        </w:rPr>
        <w:t xml:space="preserve"> to </w:t>
      </w:r>
      <m:oMath>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2</m:t>
            </m:r>
          </m:sub>
        </m:sSub>
      </m:oMath>
      <w:r w:rsidRPr="00A31324">
        <w:rPr>
          <w:rFonts w:ascii="Times New Roman" w:eastAsiaTheme="minorEastAsia" w:hAnsi="Times New Roman" w:cs="Times New Roman"/>
        </w:rPr>
        <w:t xml:space="preserve"> is linear as predicted by the Sibson formula (3) of the text.</w:t>
      </w:r>
    </w:p>
    <w:p w14:paraId="09308CFF" w14:textId="77777777" w:rsidR="001837FA" w:rsidRPr="00A31324" w:rsidRDefault="001837FA" w:rsidP="001837FA">
      <w:pPr>
        <w:spacing w:line="360" w:lineRule="auto"/>
        <w:rPr>
          <w:rFonts w:ascii="Times New Roman" w:eastAsiaTheme="minorEastAsia" w:hAnsi="Times New Roman" w:cs="Times New Roman"/>
        </w:rPr>
      </w:pPr>
      <m:oMath>
        <m:r>
          <w:rPr>
            <w:rFonts w:ascii="Cambria Math" w:hAnsi="Cambria Math" w:cs="Times New Roman"/>
          </w:rPr>
          <m:t>Ax=</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r>
              <w:rPr>
                <w:rFonts w:ascii="Cambria Math" w:hAnsi="Cambria Math" w:cs="Times New Roman"/>
              </w:rPr>
              <m:t>2</m:t>
            </m:r>
          </m:den>
        </m:f>
      </m:oMath>
      <w:r w:rsidRPr="00A31324">
        <w:rPr>
          <w:rFonts w:ascii="Times New Roman" w:eastAsiaTheme="minorEastAsia" w:hAnsi="Times New Roman" w:cs="Times New Roman"/>
        </w:rPr>
        <w:t xml:space="preserve"> </w:t>
      </w:r>
      <w:r w:rsidRPr="00A31324">
        <w:rPr>
          <w:rFonts w:ascii="Times New Roman" w:eastAsiaTheme="minorEastAsia" w:hAnsi="Times New Roman" w:cs="Times New Roman"/>
        </w:rPr>
        <w:tab/>
      </w:r>
      <w:r w:rsidRPr="00A31324">
        <w:rPr>
          <w:rFonts w:ascii="Times New Roman" w:eastAsiaTheme="minorEastAsia" w:hAnsi="Times New Roman" w:cs="Times New Roman"/>
        </w:rPr>
        <w:tab/>
        <w:t>(S1)</w:t>
      </w:r>
    </w:p>
    <w:p w14:paraId="269DBF98" w14:textId="77777777" w:rsidR="001837FA" w:rsidRPr="00A31324" w:rsidRDefault="001837FA" w:rsidP="001837FA">
      <w:pPr>
        <w:spacing w:line="360" w:lineRule="auto"/>
        <w:rPr>
          <w:rFonts w:ascii="Times New Roman" w:hAnsi="Times New Roman" w:cs="Times New Roman"/>
        </w:rPr>
      </w:pPr>
      <w:r w:rsidRPr="00A31324">
        <w:rPr>
          <w:rFonts w:ascii="Times New Roman" w:eastAsiaTheme="minorEastAsia" w:hAnsi="Times New Roman" w:cs="Times New Roman"/>
        </w:rPr>
        <w:t>The Sibson weights are</w:t>
      </w:r>
    </w:p>
    <w:p w14:paraId="0CCC0376" w14:textId="77777777" w:rsidR="001837FA" w:rsidRPr="00A31324" w:rsidRDefault="00A75F03" w:rsidP="001837FA">
      <w:pPr>
        <w:spacing w:line="360" w:lineRule="auto"/>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rPr>
            </m:ctrlPr>
          </m:fPr>
          <m:num>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r>
                      <w:rPr>
                        <w:rFonts w:ascii="Cambria Math" w:hAnsi="Cambria Math" w:cs="Times New Roman"/>
                      </w:rPr>
                      <m:t>2</m:t>
                    </m:r>
                  </m:den>
                </m:f>
              </m:e>
            </m:d>
          </m:num>
          <m:den>
            <m:r>
              <w:rPr>
                <w:rFonts w:ascii="Cambria Math" w:hAnsi="Cambria Math" w:cs="Times New Roman"/>
              </w:rPr>
              <m:t>Ax</m:t>
            </m:r>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e>
                </m:d>
              </m:num>
              <m:den>
                <m:r>
                  <w:rPr>
                    <w:rFonts w:ascii="Cambria Math" w:hAnsi="Cambria Math" w:cs="Times New Roman"/>
                  </w:rPr>
                  <m:t>2</m:t>
                </m:r>
              </m:den>
            </m:f>
          </m:num>
          <m:den>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d>
              </m:num>
              <m:den>
                <m:r>
                  <w:rPr>
                    <w:rFonts w:ascii="Cambria Math" w:hAnsi="Cambria Math" w:cs="Times New Roman"/>
                  </w:rPr>
                  <m:t>2</m:t>
                </m:r>
              </m:den>
            </m:f>
          </m:den>
        </m:f>
      </m:oMath>
      <w:r w:rsidR="001837FA" w:rsidRPr="00A31324">
        <w:rPr>
          <w:rFonts w:ascii="Times New Roman" w:eastAsiaTheme="minorEastAsia" w:hAnsi="Times New Roman" w:cs="Times New Roman"/>
        </w:rPr>
        <w:t xml:space="preserve"> </w:t>
      </w:r>
      <w:r w:rsidR="001837FA" w:rsidRPr="00A31324">
        <w:rPr>
          <w:rFonts w:ascii="Times New Roman" w:eastAsiaTheme="minorEastAsia" w:hAnsi="Times New Roman" w:cs="Times New Roman"/>
        </w:rPr>
        <w:tab/>
        <w:t>(S2a)</w:t>
      </w:r>
    </w:p>
    <w:p w14:paraId="09AD8629" w14:textId="77777777" w:rsidR="001837FA" w:rsidRPr="00A31324" w:rsidRDefault="00A75F03" w:rsidP="001837FA">
      <w:pPr>
        <w:spacing w:line="36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r>
                      <w:rPr>
                        <w:rFonts w:ascii="Cambria Math" w:hAnsi="Cambria Math" w:cs="Times New Roman"/>
                      </w:rPr>
                      <m:t>2</m:t>
                    </m:r>
                  </m:den>
                </m:f>
              </m:e>
            </m:d>
          </m:num>
          <m:den>
            <m:r>
              <w:rPr>
                <w:rFonts w:ascii="Cambria Math" w:hAnsi="Cambria Math" w:cs="Times New Roman"/>
              </w:rPr>
              <m:t>Ax</m:t>
            </m:r>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rPr>
                </m:ctrlPr>
              </m:fPr>
              <m:num>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d>
              </m:num>
              <m:den>
                <m:r>
                  <w:rPr>
                    <w:rFonts w:ascii="Cambria Math" w:hAnsi="Cambria Math" w:cs="Times New Roman"/>
                  </w:rPr>
                  <m:t>2</m:t>
                </m:r>
              </m:den>
            </m:f>
          </m:num>
          <m:den>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d>
              </m:num>
              <m:den>
                <m:r>
                  <w:rPr>
                    <w:rFonts w:ascii="Cambria Math" w:hAnsi="Cambria Math" w:cs="Times New Roman"/>
                  </w:rPr>
                  <m:t>2</m:t>
                </m:r>
              </m:den>
            </m:f>
          </m:den>
        </m:f>
      </m:oMath>
      <w:r w:rsidR="001837FA" w:rsidRPr="00A31324">
        <w:rPr>
          <w:rFonts w:ascii="Times New Roman" w:eastAsiaTheme="minorEastAsia" w:hAnsi="Times New Roman" w:cs="Times New Roman"/>
        </w:rPr>
        <w:t xml:space="preserve"> </w:t>
      </w:r>
      <w:r w:rsidR="001837FA" w:rsidRPr="00A31324">
        <w:rPr>
          <w:rFonts w:ascii="Times New Roman" w:eastAsiaTheme="minorEastAsia" w:hAnsi="Times New Roman" w:cs="Times New Roman"/>
        </w:rPr>
        <w:tab/>
        <w:t>(S2b)</w:t>
      </w:r>
    </w:p>
    <w:p w14:paraId="61008086" w14:textId="77777777" w:rsidR="001837FA" w:rsidRPr="00A31324" w:rsidRDefault="001837FA" w:rsidP="001837FA">
      <w:pPr>
        <w:spacing w:line="360" w:lineRule="auto"/>
        <w:rPr>
          <w:rFonts w:ascii="Times New Roman" w:hAnsi="Times New Roman" w:cs="Times New Roman"/>
        </w:rPr>
      </w:pPr>
    </w:p>
    <w:p w14:paraId="6B4F8645" w14:textId="77777777" w:rsidR="001837FA" w:rsidRPr="00A31324" w:rsidRDefault="001837FA" w:rsidP="001837FA">
      <w:pPr>
        <w:spacing w:line="360" w:lineRule="auto"/>
        <w:rPr>
          <w:rFonts w:ascii="Times New Roman" w:hAnsi="Times New Roman" w:cs="Times New Roman"/>
        </w:rPr>
      </w:pPr>
      <w:r w:rsidRPr="00A31324">
        <w:rPr>
          <w:rFonts w:ascii="Times New Roman" w:hAnsi="Times New Roman" w:cs="Times New Roman"/>
        </w:rPr>
        <w:t>From (S2a) and (S2b)</w:t>
      </w:r>
    </w:p>
    <w:p w14:paraId="64DEECFD" w14:textId="77777777" w:rsidR="001837FA" w:rsidRPr="00A31324" w:rsidRDefault="00A75F03" w:rsidP="001837FA">
      <w:pPr>
        <w:spacing w:line="360" w:lineRule="auto"/>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oMath>
      <w:r w:rsidR="001837FA" w:rsidRPr="00A31324">
        <w:rPr>
          <w:rFonts w:ascii="Times New Roman" w:eastAsiaTheme="minorEastAsia" w:hAnsi="Times New Roman" w:cs="Times New Roman"/>
        </w:rPr>
        <w:tab/>
      </w:r>
      <w:r w:rsidR="001837FA" w:rsidRPr="00A31324">
        <w:rPr>
          <w:rFonts w:ascii="Times New Roman" w:eastAsiaTheme="minorEastAsia" w:hAnsi="Times New Roman" w:cs="Times New Roman"/>
        </w:rPr>
        <w:tab/>
        <w:t>(S3a)</w:t>
      </w:r>
    </w:p>
    <w:p w14:paraId="5736A3B7" w14:textId="77777777" w:rsidR="001837FA" w:rsidRPr="00A31324" w:rsidRDefault="00A75F03" w:rsidP="001837FA">
      <w:pPr>
        <w:spacing w:line="360" w:lineRule="auto"/>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oMath>
      <w:r w:rsidR="001837FA" w:rsidRPr="00A31324">
        <w:rPr>
          <w:rFonts w:ascii="Times New Roman" w:eastAsiaTheme="minorEastAsia" w:hAnsi="Times New Roman" w:cs="Times New Roman"/>
        </w:rPr>
        <w:tab/>
      </w:r>
      <w:r w:rsidR="001837FA" w:rsidRPr="00A31324">
        <w:rPr>
          <w:rFonts w:ascii="Times New Roman" w:eastAsiaTheme="minorEastAsia" w:hAnsi="Times New Roman" w:cs="Times New Roman"/>
        </w:rPr>
        <w:tab/>
        <w:t>(S3b)</w:t>
      </w:r>
    </w:p>
    <w:p w14:paraId="66337C58" w14:textId="77777777" w:rsidR="001837FA" w:rsidRPr="00A31324" w:rsidRDefault="001837FA" w:rsidP="001837FA">
      <w:pPr>
        <w:spacing w:line="360" w:lineRule="auto"/>
        <w:rPr>
          <w:rFonts w:ascii="Times New Roman" w:hAnsi="Times New Roman" w:cs="Times New Roman"/>
        </w:rPr>
      </w:pPr>
      <w:r w:rsidRPr="00A31324">
        <w:rPr>
          <w:rFonts w:ascii="Times New Roman" w:eastAsiaTheme="minorEastAsia" w:hAnsi="Times New Roman" w:cs="Times New Roman"/>
        </w:rPr>
        <w:t xml:space="preserve">The interpolated value in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oMath>
      <w:r w:rsidRPr="00A31324">
        <w:rPr>
          <w:rFonts w:ascii="Times New Roman" w:hAnsi="Times New Roman" w:cs="Times New Roman"/>
        </w:rPr>
        <w:t xml:space="preserve"> is</w:t>
      </w:r>
    </w:p>
    <w:p w14:paraId="60362624" w14:textId="77777777" w:rsidR="001837FA" w:rsidRPr="00A31324" w:rsidRDefault="001837FA" w:rsidP="001837FA">
      <w:pPr>
        <w:spacing w:line="360" w:lineRule="auto"/>
        <w:rPr>
          <w:rFonts w:ascii="Times New Roman" w:eastAsiaTheme="minorEastAsia" w:hAnsi="Times New Roman" w:cs="Times New Roman"/>
        </w:rPr>
      </w:pPr>
      <m:oMath>
        <m:r>
          <w:rPr>
            <w:rFonts w:ascii="Cambria Math" w:hAnsi="Cambria Math" w:cs="Times New Roman"/>
          </w:rPr>
          <m:t>Y</m:t>
        </m:r>
        <m:d>
          <m:dPr>
            <m:ctrlPr>
              <w:rPr>
                <w:rFonts w:ascii="Cambria Math" w:hAnsi="Cambria Math" w:cs="Times New Roman"/>
                <w:i/>
              </w:rPr>
            </m:ctrlPr>
          </m:dPr>
          <m:e>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oMath>
      <w:r w:rsidRPr="00A31324">
        <w:rPr>
          <w:rFonts w:ascii="Times New Roman" w:eastAsiaTheme="minorEastAsia" w:hAnsi="Times New Roman" w:cs="Times New Roman"/>
        </w:rPr>
        <w:t>=</w:t>
      </w: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1</m:t>
            </m:r>
          </m:sub>
        </m:sSub>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2</m:t>
            </m:r>
          </m:sub>
        </m:sSub>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r>
          <w:rPr>
            <w:rFonts w:ascii="Cambria Math" w:hAnsi="Cambria Math" w:cs="Times New Roman"/>
          </w:rPr>
          <m:t xml:space="preserve"> </m:t>
        </m:r>
      </m:oMath>
      <w:r w:rsidRPr="00A31324">
        <w:rPr>
          <w:rFonts w:ascii="Times New Roman" w:eastAsiaTheme="minorEastAsia" w:hAnsi="Times New Roman" w:cs="Times New Roman"/>
        </w:rPr>
        <w:t>=</w:t>
      </w:r>
      <m:oMath>
        <m:r>
          <w:rPr>
            <w:rFonts w:ascii="Cambria Math" w:eastAsiaTheme="minorEastAsia"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d>
          <m:dPr>
            <m:ctrlPr>
              <w:rPr>
                <w:rFonts w:ascii="Cambria Math" w:eastAsiaTheme="minorEastAsia" w:hAnsi="Cambria Math" w:cs="Times New Roman"/>
                <w:i/>
              </w:rPr>
            </m:ctrlPr>
          </m:dPr>
          <m:e>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1</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2</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d>
          </m:e>
        </m:d>
      </m:oMath>
      <w:r w:rsidRPr="00A31324">
        <w:rPr>
          <w:rFonts w:ascii="Times New Roman" w:eastAsiaTheme="minorEastAsia" w:hAnsi="Times New Roman" w:cs="Times New Roman"/>
        </w:rPr>
        <w:tab/>
        <w:t>(S4)</w:t>
      </w:r>
    </w:p>
    <w:p w14:paraId="18621BAE" w14:textId="77777777" w:rsidR="001837FA" w:rsidRPr="00A31324" w:rsidRDefault="001837FA" w:rsidP="001837FA">
      <w:pPr>
        <w:spacing w:line="360" w:lineRule="auto"/>
        <w:rPr>
          <w:rFonts w:ascii="Times New Roman" w:hAnsi="Times New Roman" w:cs="Times New Roman"/>
        </w:rPr>
      </w:pPr>
      <w:r w:rsidRPr="002451F8">
        <w:rPr>
          <w:rFonts w:ascii="Times New Roman" w:hAnsi="Times New Roman" w:cs="Times New Roman"/>
          <w:noProof/>
        </w:rPr>
        <w:drawing>
          <wp:inline distT="0" distB="0" distL="0" distR="0" wp14:anchorId="224D6971" wp14:editId="0ED2CF3F">
            <wp:extent cx="6096000" cy="3429000"/>
            <wp:effectExtent l="0" t="0" r="0" b="0"/>
            <wp:docPr id="175698720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06CCAB92" w14:textId="77777777" w:rsidR="001837FA" w:rsidRPr="00A31324" w:rsidRDefault="001837FA" w:rsidP="001837FA">
      <w:pPr>
        <w:spacing w:line="240" w:lineRule="auto"/>
        <w:rPr>
          <w:rFonts w:ascii="Times New Roman" w:hAnsi="Times New Roman" w:cs="Times New Roman"/>
        </w:rPr>
      </w:pPr>
      <w:r w:rsidRPr="00A31324">
        <w:rPr>
          <w:rFonts w:ascii="Times New Roman" w:hAnsi="Times New Roman" w:cs="Times New Roman"/>
          <w:b/>
          <w:bCs/>
        </w:rPr>
        <w:t>Fig S2: a)</w:t>
      </w:r>
      <w:r w:rsidRPr="00A31324">
        <w:rPr>
          <w:rFonts w:ascii="Times New Roman" w:hAnsi="Times New Roman" w:cs="Times New Roman"/>
        </w:rPr>
        <w:t xml:space="preserve"> Simple scheme of Voronoi in one dimension; </w:t>
      </w:r>
      <w:r w:rsidRPr="00A31324">
        <w:rPr>
          <w:rFonts w:ascii="Times New Roman" w:hAnsi="Times New Roman" w:cs="Times New Roman"/>
          <w:b/>
          <w:bCs/>
        </w:rPr>
        <w:t>b)</w:t>
      </w:r>
      <w:r w:rsidRPr="00A31324">
        <w:rPr>
          <w:rFonts w:ascii="Times New Roman" w:hAnsi="Times New Roman" w:cs="Times New Roman"/>
        </w:rPr>
        <w:t xml:space="preserve"> tessellation of most regular forms of Voronoi polygons in two dimensions (hexagons) to study the distributions of weights by changing the position of the control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b/>
          <w:bCs/>
          <w:iCs/>
        </w:rPr>
        <w:t xml:space="preserve"> </w:t>
      </w:r>
      <w:r w:rsidRPr="00A31324">
        <w:rPr>
          <w:rFonts w:ascii="Times New Roman" w:eastAsiaTheme="minorEastAsia" w:hAnsi="Times New Roman" w:cs="Times New Roman"/>
          <w:iCs/>
        </w:rPr>
        <w:t>in the three directions of the grey rows (see Fig S3).</w:t>
      </w:r>
    </w:p>
    <w:p w14:paraId="74DEACD8" w14:textId="77777777" w:rsidR="001837FA" w:rsidRPr="00A31324" w:rsidRDefault="001837FA" w:rsidP="001837FA">
      <w:pPr>
        <w:spacing w:line="360" w:lineRule="auto"/>
        <w:rPr>
          <w:rFonts w:ascii="Times New Roman" w:hAnsi="Times New Roman" w:cs="Times New Roman"/>
        </w:rPr>
      </w:pPr>
    </w:p>
    <w:p w14:paraId="1D99CC23" w14:textId="77777777" w:rsidR="001837FA" w:rsidRPr="00A31324" w:rsidRDefault="001837FA" w:rsidP="001837FA">
      <w:pPr>
        <w:spacing w:line="360" w:lineRule="auto"/>
        <w:rPr>
          <w:rFonts w:ascii="Times New Roman" w:eastAsiaTheme="minorEastAsia" w:hAnsi="Times New Roman" w:cs="Times New Roman"/>
        </w:rPr>
      </w:pPr>
      <w:r w:rsidRPr="00A31324">
        <w:rPr>
          <w:rFonts w:ascii="Times New Roman" w:hAnsi="Times New Roman" w:cs="Times New Roman"/>
        </w:rPr>
        <w:t xml:space="preserve">A regular treatment in </w:t>
      </w:r>
      <w:r w:rsidRPr="00E27F29">
        <w:rPr>
          <w:rFonts w:ascii="Times New Roman" w:hAnsi="Times New Roman" w:cs="Times New Roman"/>
        </w:rPr>
        <w:t>ℝ</w:t>
      </w:r>
      <w:r w:rsidRPr="00E27F29">
        <w:rPr>
          <w:rFonts w:ascii="Times New Roman" w:hAnsi="Times New Roman" w:cs="Times New Roman"/>
          <w:vertAlign w:val="superscript"/>
        </w:rPr>
        <w:t>2</w:t>
      </w:r>
      <w:r w:rsidRPr="00E27F29">
        <w:rPr>
          <w:rFonts w:ascii="Times New Roman" w:hAnsi="Times New Roman" w:cs="Times New Roman"/>
        </w:rPr>
        <w:t xml:space="preserve"> is not so </w:t>
      </w:r>
      <w:r w:rsidRPr="00A31324">
        <w:rPr>
          <w:rFonts w:ascii="Times New Roman" w:hAnsi="Times New Roman" w:cs="Times New Roman"/>
        </w:rPr>
        <w:t xml:space="preserve">straightforward. To analyse the behaviour in 2D we use the hexagonal polygons as the regular shape for Voronoi elements (Fig. 2b). </w:t>
      </w:r>
      <w:r w:rsidRPr="00E27F29">
        <w:rPr>
          <w:rFonts w:ascii="Times New Roman" w:hAnsi="Times New Roman" w:cs="Times New Roman"/>
        </w:rPr>
        <w:t xml:space="preserve">Hexagons are the regular Voronoi polygons, as the average number of sides in a Voronoi tessellation is 6 </w:t>
      </w:r>
      <w:r w:rsidRPr="00A31324">
        <w:rPr>
          <w:rFonts w:ascii="Times New Roman" w:hAnsi="Times New Roman" w:cs="Times New Roman"/>
        </w:rPr>
        <w:t xml:space="preserve">(Okabe </w:t>
      </w:r>
      <w:r w:rsidRPr="00A31324">
        <w:rPr>
          <w:rFonts w:ascii="Times New Roman" w:hAnsi="Times New Roman" w:cs="Times New Roman"/>
          <w:i/>
          <w:iCs/>
        </w:rPr>
        <w:t xml:space="preserve">et al., </w:t>
      </w:r>
      <w:r w:rsidRPr="00A31324">
        <w:rPr>
          <w:rFonts w:ascii="Times New Roman" w:hAnsi="Times New Roman" w:cs="Times New Roman"/>
        </w:rPr>
        <w:t xml:space="preserve">2000). Fig. S2b shows a portion of space R2 tiled with regular hexagons, which can be understood as a Voronoi mosaic generated by a regular distribution of integer data from 10 to 7. The side of each </w:t>
      </w:r>
      <w:r w:rsidRPr="00A31324">
        <w:rPr>
          <w:rFonts w:ascii="Times New Roman" w:hAnsi="Times New Roman" w:cs="Times New Roman"/>
        </w:rPr>
        <w:lastRenderedPageBreak/>
        <w:t xml:space="preserve">hexagon is 2.7 cm (4.8 cm the diameter). Computing the NN interpolations in the three directions towards the right: 0º (horizontal), 30º, 45º (see the grey arrows in Fig. S2b), for a </w:t>
      </w:r>
      <w:r w:rsidRPr="00A31324">
        <w:rPr>
          <w:rFonts w:ascii="Times New Roman" w:hAnsi="Times New Roman" w:cs="Times New Roman"/>
          <w:b/>
          <w:bCs/>
          <w:i/>
          <w:iCs/>
        </w:rPr>
        <w:t>x</w:t>
      </w:r>
      <w:r w:rsidRPr="00A31324">
        <w:rPr>
          <w:rFonts w:ascii="Times New Roman" w:hAnsi="Times New Roman" w:cs="Times New Roman"/>
        </w:rPr>
        <w:t xml:space="preserve"> coordinate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rPr>
        <w:t xml:space="preserve">, </w:t>
      </w:r>
      <w:r w:rsidRPr="00A31324">
        <w:rPr>
          <w:rFonts w:ascii="Times New Roman" w:hAnsi="Times New Roman" w:cs="Times New Roman"/>
        </w:rPr>
        <w:t xml:space="preserve">we computed the values of the weights and interpolation as shown in Figs S3. As shown in Fig. 3c, for a real situation, the mutual relations between weights for the Sibson (1981) interpolation of a point moving in the three directions - 0º (Fig. S3a), 30º (Fig. S3b) and 45º (Fig. S3c) – are presented. The relations are regular with smooth curves representing the weight values. If, in </w:t>
      </w:r>
      <w:r w:rsidRPr="00E27F29">
        <w:rPr>
          <w:rFonts w:ascii="Times New Roman" w:hAnsi="Times New Roman" w:cs="Times New Roman"/>
        </w:rPr>
        <w:t xml:space="preserve">one dimension the trend of interpolation for a set of independent variables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b/>
          <w:bCs/>
          <w:iCs/>
        </w:rPr>
        <w:t xml:space="preserve"> </w:t>
      </w:r>
      <w:r w:rsidRPr="00A31324">
        <w:rPr>
          <w:rFonts w:ascii="Times New Roman" w:eastAsiaTheme="minorEastAsia" w:hAnsi="Times New Roman" w:cs="Times New Roman"/>
          <w:iCs/>
        </w:rPr>
        <w:t xml:space="preserve">is linear, as shown in formula S4 and the general formula of Sibson (3), in two dimensions, for different directions of movement, this fundamental principle is not upheld. Fig. S3d shows in </w:t>
      </w:r>
      <w:r w:rsidRPr="00A31324">
        <w:rPr>
          <w:rFonts w:ascii="Times New Roman" w:hAnsi="Times New Roman" w:cs="Times New Roman"/>
        </w:rPr>
        <w:t xml:space="preserve">the horizontal direction, as expected, the trend is linear; for the other two directions there is a deflection around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oMath>
      <w:r w:rsidRPr="00A31324">
        <w:rPr>
          <w:rFonts w:ascii="Times New Roman" w:eastAsiaTheme="minorEastAsia" w:hAnsi="Times New Roman" w:cs="Times New Roman"/>
        </w:rPr>
        <w:t xml:space="preserve"> = </w:t>
      </w:r>
      <w:r w:rsidRPr="00A31324">
        <w:rPr>
          <w:rFonts w:ascii="Times New Roman" w:hAnsi="Times New Roman" w:cs="Times New Roman"/>
        </w:rPr>
        <w:t xml:space="preserve">3.7 cm. The value 3.75 cm is the horizontal coordinate of the two data points to the (9) right the 10 (half side plus half diameter). It is the point where the intersection area of 10 equals to the area of 8 on the right, in the direction 0º (Fig. S3a). Initially, the contribution to interpolation is provided by the hexagons: 10, the 9 above and below this first one, and the 9 to the right. The second-order Voronoi polygon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is a pentagon. The area of each intersection with the second-order Voronoi represents the reliability we are seeking </w:t>
      </w:r>
      <w:r w:rsidRPr="00A31324">
        <w:rPr>
          <w:rFonts w:ascii="Times New Roman" w:eastAsiaTheme="minorEastAsia" w:hAnsi="Times New Roman" w:cs="Times New Roman"/>
        </w:rPr>
        <w:t>(formula 2)</w:t>
      </w:r>
      <w:r w:rsidRPr="00A31324">
        <w:rPr>
          <w:rFonts w:ascii="Times New Roman" w:hAnsi="Times New Roman" w:cs="Times New Roman"/>
        </w:rPr>
        <w:t xml:space="preserve">, and that for data points 9 the reliability is the sum of the two areas. From Figure S3a, up to 3.75 cm, the reliability of 10 appears linear, but in reality, it begins to curve at a distance of 2.8 cm, just outside hexagon 10, as the reliability of 9, when the intersection with polygon 8 begins. At 2.7 cm, the second-order polygon of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oMath>
      <w:r w:rsidRPr="00A31324">
        <w:rPr>
          <w:rFonts w:ascii="Times New Roman" w:hAnsi="Times New Roman" w:cs="Times New Roman"/>
        </w:rPr>
        <w:t xml:space="preserve"> collapses from a pentagon into an isosceles triangle pointing towards data point 8. It then becomes a quadrilateral up to 4.8 cm, where it returns to being a pentagon without the contribution of data point 10. At 3.75 cm, there is a change in the balance between the horizontal data points (10 and 8); in fact, the reliability of 9 reaches its maximum (which is not 1) and then begins to decline. In the directions 30</w:t>
      </w:r>
      <w:r w:rsidRPr="00A31324">
        <w:rPr>
          <w:rFonts w:ascii="Times New Roman" w:hAnsi="Times New Roman" w:cs="Times New Roman"/>
          <w:vertAlign w:val="superscript"/>
        </w:rPr>
        <w:t>◦</w:t>
      </w:r>
      <w:r w:rsidRPr="00A31324">
        <w:rPr>
          <w:rFonts w:ascii="Times New Roman" w:hAnsi="Times New Roman" w:cs="Times New Roman"/>
        </w:rPr>
        <w:t xml:space="preserve"> (Fig. S3b) and 45</w:t>
      </w:r>
      <w:r w:rsidRPr="00A31324">
        <w:rPr>
          <w:rFonts w:ascii="Times New Roman" w:hAnsi="Times New Roman" w:cs="Times New Roman"/>
          <w:vertAlign w:val="superscript"/>
        </w:rPr>
        <w:t xml:space="preserve">◦ </w:t>
      </w:r>
      <w:r w:rsidRPr="00A31324">
        <w:rPr>
          <w:rFonts w:ascii="Times New Roman" w:hAnsi="Times New Roman" w:cs="Times New Roman"/>
        </w:rPr>
        <w:t>(Fig. S3c), the combination</w:t>
      </w:r>
      <w:r>
        <w:rPr>
          <w:rFonts w:ascii="Times New Roman" w:hAnsi="Times New Roman" w:cs="Times New Roman"/>
        </w:rPr>
        <w:t xml:space="preserve"> of curves</w:t>
      </w:r>
      <w:r w:rsidRPr="00A31324">
        <w:rPr>
          <w:rFonts w:ascii="Times New Roman" w:hAnsi="Times New Roman" w:cs="Times New Roman"/>
        </w:rPr>
        <w:t xml:space="preserve"> is more complex also because </w:t>
      </w:r>
      <w:r>
        <w:rPr>
          <w:rFonts w:ascii="Times New Roman" w:hAnsi="Times New Roman" w:cs="Times New Roman"/>
        </w:rPr>
        <w:t xml:space="preserve">the hexagon of </w:t>
      </w:r>
      <w:r w:rsidRPr="004B0395">
        <w:rPr>
          <w:rFonts w:ascii="Times New Roman" w:hAnsi="Times New Roman" w:cs="Times New Roman"/>
        </w:rPr>
        <w:t>VII</w:t>
      </w:r>
      <w:r w:rsidRPr="00C50D13">
        <w:rPr>
          <w:rFonts w:ascii="Times New Roman" w:hAnsi="Times New Roman" w:cs="Times New Roman"/>
        </w:rPr>
        <w:t xml:space="preserve"> </w:t>
      </w:r>
      <w:r>
        <w:rPr>
          <w:rFonts w:ascii="Times New Roman" w:hAnsi="Times New Roman" w:cs="Times New Roman"/>
        </w:rPr>
        <w:t xml:space="preserve">enters in the </w:t>
      </w:r>
      <w:r w:rsidRPr="00917825">
        <w:rPr>
          <w:rFonts w:ascii="Times New Roman" w:hAnsi="Times New Roman" w:cs="Times New Roman"/>
          <w:i/>
          <w:iCs/>
        </w:rPr>
        <w:t>wreath</w:t>
      </w:r>
      <w:r>
        <w:rPr>
          <w:rFonts w:ascii="Times New Roman" w:hAnsi="Times New Roman" w:cs="Times New Roman"/>
        </w:rPr>
        <w:t xml:space="preserve"> for the computation </w:t>
      </w:r>
      <w:r w:rsidRPr="00A31324">
        <w:rPr>
          <w:rFonts w:ascii="Times New Roman" w:hAnsi="Times New Roman" w:cs="Times New Roman"/>
        </w:rPr>
        <w:t xml:space="preserve">of </w:t>
      </w:r>
      <w:r>
        <w:rPr>
          <w:rFonts w:ascii="Times New Roman" w:hAnsi="Times New Roman" w:cs="Times New Roman"/>
        </w:rPr>
        <w:t>the weights</w:t>
      </w:r>
      <w:r w:rsidRPr="00A31324">
        <w:rPr>
          <w:rFonts w:ascii="Times New Roman" w:hAnsi="Times New Roman" w:cs="Times New Roman"/>
        </w:rPr>
        <w:t xml:space="preserve">. Analytic functions are not easy to formalise, but this is not necessary; we only note that, despite the change in the shape of the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rPr>
        <w:t xml:space="preserve"> polygon, the curves are continuous and smooth, and the changes naturally correspond to the dimensions and positions of the hexagons. A random configuration confirms this rule, as shown in Figs 3, computing the NN values for the coordinates of points </w:t>
      </w:r>
      <m:oMath>
        <m:sSup>
          <m:sSupPr>
            <m:ctrlPr>
              <w:rPr>
                <w:rFonts w:ascii="Cambria Math" w:hAnsi="Cambria Math" w:cs="Times New Roman"/>
                <w:i/>
              </w:rPr>
            </m:ctrlPr>
          </m:sSupPr>
          <m:e>
            <m:r>
              <m:rPr>
                <m:sty m:val="bi"/>
              </m:rPr>
              <w:rPr>
                <w:rFonts w:ascii="Cambria Math" w:hAnsi="Cambria Math" w:cs="Times New Roman"/>
              </w:rPr>
              <m:t>x</m:t>
            </m:r>
          </m:e>
          <m:sup>
            <m:r>
              <w:rPr>
                <w:rFonts w:ascii="Cambria Math" w:hAnsi="Cambria Math" w:cs="Times New Roman"/>
              </w:rPr>
              <m:t>*</m:t>
            </m:r>
          </m:sup>
        </m:sSup>
      </m:oMath>
      <w:r w:rsidRPr="00A31324">
        <w:rPr>
          <w:rFonts w:ascii="Times New Roman" w:eastAsiaTheme="minorEastAsia" w:hAnsi="Times New Roman" w:cs="Times New Roman"/>
        </w:rPr>
        <w:t xml:space="preserve"> in the direction of the red, with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rPr>
        <w:t>, the curve is trivially irregular with the discontinuity at point VIII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oMath>
      <w:r w:rsidRPr="00A31324">
        <w:rPr>
          <w:rFonts w:ascii="Times New Roman" w:eastAsiaTheme="minorEastAsia" w:hAnsi="Times New Roman" w:cs="Times New Roman"/>
        </w:rPr>
        <w:t xml:space="preserve"> = -1.2 and </w:t>
      </w:r>
      <m:oMath>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oMath>
      <w:r w:rsidRPr="00A31324">
        <w:rPr>
          <w:rFonts w:ascii="Times New Roman" w:eastAsiaTheme="minorEastAsia" w:hAnsi="Times New Roman" w:cs="Times New Roman"/>
        </w:rPr>
        <w:t>=-0.9 – Fig. S3d).</w:t>
      </w:r>
    </w:p>
    <w:p w14:paraId="30392352" w14:textId="77777777" w:rsidR="001837FA" w:rsidRPr="00A31324" w:rsidRDefault="001837FA" w:rsidP="001837FA">
      <w:pPr>
        <w:spacing w:line="360" w:lineRule="auto"/>
        <w:rPr>
          <w:rFonts w:ascii="Times New Roman" w:eastAsiaTheme="minorEastAsia" w:hAnsi="Times New Roman" w:cs="Times New Roman"/>
        </w:rPr>
      </w:pPr>
      <w:r w:rsidRPr="002451F8">
        <w:rPr>
          <w:rFonts w:ascii="Times New Roman" w:eastAsiaTheme="minorEastAsia" w:hAnsi="Times New Roman" w:cs="Times New Roman"/>
          <w:noProof/>
        </w:rPr>
        <w:lastRenderedPageBreak/>
        <w:drawing>
          <wp:inline distT="0" distB="0" distL="0" distR="0" wp14:anchorId="48656A65" wp14:editId="75AF7B9B">
            <wp:extent cx="6096000" cy="3429000"/>
            <wp:effectExtent l="0" t="0" r="0" b="0"/>
            <wp:docPr id="15223023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1B0CDB01" w14:textId="77777777" w:rsidR="001837FA" w:rsidRPr="00A31324" w:rsidRDefault="001837FA" w:rsidP="001837FA">
      <w:pPr>
        <w:spacing w:line="240" w:lineRule="auto"/>
        <w:rPr>
          <w:rFonts w:ascii="Times New Roman" w:hAnsi="Times New Roman" w:cs="Times New Roman"/>
        </w:rPr>
      </w:pPr>
      <w:r w:rsidRPr="00A31324">
        <w:rPr>
          <w:rFonts w:ascii="Times New Roman" w:hAnsi="Times New Roman" w:cs="Times New Roman"/>
          <w:b/>
          <w:bCs/>
        </w:rPr>
        <w:t>Fig S3:</w:t>
      </w:r>
      <w:r w:rsidRPr="00A31324">
        <w:rPr>
          <w:rFonts w:ascii="Times New Roman" w:hAnsi="Times New Roman" w:cs="Times New Roman"/>
        </w:rPr>
        <w:t xml:space="preserve"> Distributions of weights in the</w:t>
      </w:r>
      <w:r w:rsidRPr="00A31324">
        <w:rPr>
          <w:rFonts w:ascii="Times New Roman" w:eastAsiaTheme="minorEastAsia" w:hAnsi="Times New Roman" w:cs="Times New Roman"/>
          <w:iCs/>
        </w:rPr>
        <w:t xml:space="preserve"> three directions of the grey rows of Fig. S2b; </w:t>
      </w:r>
      <w:r w:rsidRPr="00A31324">
        <w:rPr>
          <w:rFonts w:ascii="Times New Roman" w:eastAsiaTheme="minorEastAsia" w:hAnsi="Times New Roman" w:cs="Times New Roman"/>
          <w:b/>
          <w:bCs/>
          <w:iCs/>
        </w:rPr>
        <w:t>a)</w:t>
      </w:r>
      <w:r w:rsidRPr="00A31324">
        <w:rPr>
          <w:rFonts w:ascii="Times New Roman" w:eastAsiaTheme="minorEastAsia" w:hAnsi="Times New Roman" w:cs="Times New Roman"/>
          <w:iCs/>
        </w:rPr>
        <w:t xml:space="preserve"> horizontal direction (</w:t>
      </w:r>
      <w:r w:rsidRPr="00A31324">
        <w:rPr>
          <w:rFonts w:ascii="Times New Roman" w:hAnsi="Times New Roman" w:cs="Times New Roman"/>
        </w:rPr>
        <w:t>0º)</w:t>
      </w:r>
      <w:r w:rsidRPr="00A31324">
        <w:rPr>
          <w:rFonts w:ascii="Times New Roman" w:eastAsiaTheme="minorEastAsia" w:hAnsi="Times New Roman" w:cs="Times New Roman"/>
          <w:iCs/>
        </w:rPr>
        <w:t xml:space="preserve">; </w:t>
      </w:r>
      <w:r w:rsidRPr="00A31324">
        <w:rPr>
          <w:rFonts w:ascii="Times New Roman" w:eastAsiaTheme="minorEastAsia" w:hAnsi="Times New Roman" w:cs="Times New Roman"/>
          <w:b/>
          <w:bCs/>
          <w:iCs/>
        </w:rPr>
        <w:t>b)</w:t>
      </w:r>
      <w:r w:rsidRPr="00A31324">
        <w:rPr>
          <w:rFonts w:ascii="Times New Roman" w:eastAsiaTheme="minorEastAsia" w:hAnsi="Times New Roman" w:cs="Times New Roman"/>
          <w:iCs/>
        </w:rPr>
        <w:t xml:space="preserve"> </w:t>
      </w:r>
      <w:r w:rsidRPr="00A31324">
        <w:rPr>
          <w:rFonts w:ascii="Times New Roman" w:hAnsi="Times New Roman" w:cs="Times New Roman"/>
        </w:rPr>
        <w:t xml:space="preserve">30º; </w:t>
      </w:r>
      <w:r w:rsidRPr="00A31324">
        <w:rPr>
          <w:rFonts w:ascii="Times New Roman" w:hAnsi="Times New Roman" w:cs="Times New Roman"/>
          <w:b/>
          <w:bCs/>
        </w:rPr>
        <w:t>c)</w:t>
      </w:r>
      <w:r w:rsidRPr="00A31324">
        <w:rPr>
          <w:rFonts w:ascii="Times New Roman" w:hAnsi="Times New Roman" w:cs="Times New Roman"/>
        </w:rPr>
        <w:t xml:space="preserve"> 45º; interpolated values in the three directions.</w:t>
      </w:r>
    </w:p>
    <w:p w14:paraId="573A8383" w14:textId="77777777" w:rsidR="001837FA" w:rsidRPr="00A31324" w:rsidRDefault="001837FA" w:rsidP="001837FA">
      <w:pPr>
        <w:spacing w:line="360" w:lineRule="auto"/>
        <w:rPr>
          <w:rFonts w:ascii="Times New Roman" w:hAnsi="Times New Roman" w:cs="Times New Roman"/>
        </w:rPr>
      </w:pPr>
    </w:p>
    <w:p w14:paraId="7AD423BC" w14:textId="77777777" w:rsidR="001837FA" w:rsidRPr="00A31324" w:rsidRDefault="001837FA" w:rsidP="001837FA">
      <w:pPr>
        <w:spacing w:line="360" w:lineRule="auto"/>
        <w:rPr>
          <w:rFonts w:ascii="Times New Roman" w:hAnsi="Times New Roman" w:cs="Times New Roman"/>
          <w:b/>
          <w:bCs/>
        </w:rPr>
      </w:pPr>
      <w:r w:rsidRPr="00A31324">
        <w:rPr>
          <w:rFonts w:ascii="Times New Roman" w:hAnsi="Times New Roman" w:cs="Times New Roman"/>
          <w:b/>
          <w:bCs/>
        </w:rPr>
        <w:t>S3 Statistical test - Robustness</w:t>
      </w:r>
    </w:p>
    <w:p w14:paraId="376BD9C2" w14:textId="77777777" w:rsidR="001837FA" w:rsidRPr="00A31324" w:rsidRDefault="001837FA" w:rsidP="001837FA">
      <w:pPr>
        <w:spacing w:line="360" w:lineRule="auto"/>
        <w:rPr>
          <w:rFonts w:ascii="Times New Roman" w:eastAsiaTheme="minorEastAsia" w:hAnsi="Times New Roman" w:cs="Times New Roman"/>
        </w:rPr>
      </w:pPr>
      <w:r w:rsidRPr="00A31324">
        <w:rPr>
          <w:rFonts w:ascii="Times New Roman" w:hAnsi="Times New Roman" w:cs="Times New Roman"/>
        </w:rPr>
        <w:t xml:space="preserve">Since the NN method is local, we used the small dataset from Fig. 1 to test the robustness of the method by varying the coordinates of the ten points randomly using a normal distribution with a mean of 0 and a standard deviation of 1%. The perturbation is not large, as the method is based on spatial ratios. However, a robustness analysis is always required for statistical purposes. Starting from the point with coordinates of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in Fig. 1a (x0=0.; y0=0) we computed hundreds of random perturbations, Fig. S4a. We then proceeded with a simple statistic of trimmed mean, deleting one by one each test of the five natural neighbours, excluding the VIII degree, which includes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For each Trimm we computed hundreds of random perturbations. Fig. S4b shows the histogram of cumulative perturbations, including all 6 configurations. Figs S4c,d show the corresponding probability (or reliability) for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expressed by formula (2). The statistics are presented in Table S1.</w:t>
      </w:r>
      <w:r w:rsidRPr="00A31324">
        <w:rPr>
          <w:rFonts w:ascii="Times New Roman" w:eastAsiaTheme="minorEastAsia" w:hAnsi="Times New Roman" w:cs="Times New Roman"/>
        </w:rPr>
        <w:t xml:space="preserve"> </w:t>
      </w:r>
      <w:r w:rsidRPr="007B337A">
        <w:rPr>
          <w:rFonts w:ascii="Times New Roman" w:eastAsiaTheme="minorEastAsia" w:hAnsi="Times New Roman" w:cs="Times New Roman"/>
        </w:rPr>
        <w:t>Mean and median are roughly in agreement</w:t>
      </w:r>
      <w:r w:rsidRPr="00A31324">
        <w:rPr>
          <w:rFonts w:ascii="Times New Roman" w:eastAsiaTheme="minorEastAsia" w:hAnsi="Times New Roman" w:cs="Times New Roman"/>
        </w:rPr>
        <w:t xml:space="preserve"> for the case without trimming (Fig. S4a) and the cumulative (Fig. S4b). There is a clear difference in the trimming case of the “Rem. VII” row (Fig. S4a), where the histogram shows a dispersion equal to the case without trimming (same standard deviation, see Table S1)</w:t>
      </w:r>
      <w:r w:rsidRPr="00A31324">
        <w:rPr>
          <w:rFonts w:ascii="Times New Roman" w:hAnsi="Times New Roman" w:cs="Times New Roman"/>
        </w:rPr>
        <w:t>.</w:t>
      </w:r>
      <w:r w:rsidRPr="00A31324">
        <w:rPr>
          <w:rFonts w:ascii="Times New Roman" w:eastAsiaTheme="minorEastAsia" w:hAnsi="Times New Roman" w:cs="Times New Roman"/>
        </w:rPr>
        <w:t xml:space="preserve"> By removing the VII on the left, the NN configuration changes significantly. The VIII pairs with the other VII and widens the area of intersection. Instead, for the reliability there is already a difference between the non-trimmed case </w:t>
      </w:r>
      <w:r w:rsidRPr="00A31324">
        <w:rPr>
          <w:rFonts w:ascii="Times New Roman" w:eastAsiaTheme="minorEastAsia" w:hAnsi="Times New Roman" w:cs="Times New Roman"/>
        </w:rPr>
        <w:lastRenderedPageBreak/>
        <w:t>and the cumulative. The cumulative (Fig. 4Sd) shows a bimodality influenced by behaviour of the trimming of the VII in second row, already described. But the medians of the non-trimmed case and the cumulative are comparable, showing a sort of robustness. For the other cases there is a considerable difference with the non-trimmed case.</w:t>
      </w:r>
    </w:p>
    <w:p w14:paraId="3F8DC80F" w14:textId="77777777" w:rsidR="001837FA" w:rsidRPr="00A31324" w:rsidRDefault="001837FA" w:rsidP="001837FA">
      <w:pPr>
        <w:spacing w:line="360" w:lineRule="auto"/>
        <w:rPr>
          <w:rFonts w:ascii="Times New Roman" w:hAnsi="Times New Roman" w:cs="Times New Roman"/>
        </w:rPr>
      </w:pPr>
      <w:r w:rsidRPr="002451F8">
        <w:rPr>
          <w:rFonts w:ascii="Times New Roman" w:eastAsiaTheme="minorEastAsia" w:hAnsi="Times New Roman" w:cs="Times New Roman"/>
          <w:noProof/>
        </w:rPr>
        <w:drawing>
          <wp:inline distT="0" distB="0" distL="0" distR="0" wp14:anchorId="6825DE1F" wp14:editId="0FC72BFF">
            <wp:extent cx="6096000" cy="3429000"/>
            <wp:effectExtent l="0" t="0" r="0" b="0"/>
            <wp:docPr id="68388025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3D40C675" w14:textId="77777777" w:rsidR="001837FA" w:rsidRPr="00A31324" w:rsidRDefault="001837FA" w:rsidP="001837FA">
      <w:pPr>
        <w:spacing w:line="240" w:lineRule="auto"/>
        <w:rPr>
          <w:rFonts w:ascii="Times New Roman" w:hAnsi="Times New Roman" w:cs="Times New Roman"/>
        </w:rPr>
      </w:pPr>
      <w:r w:rsidRPr="00A31324">
        <w:rPr>
          <w:rFonts w:ascii="Times New Roman" w:hAnsi="Times New Roman" w:cs="Times New Roman"/>
          <w:b/>
          <w:bCs/>
        </w:rPr>
        <w:t>Fig. S4:</w:t>
      </w:r>
      <w:r w:rsidRPr="00A31324">
        <w:rPr>
          <w:rFonts w:ascii="Times New Roman" w:hAnsi="Times New Roman" w:cs="Times New Roman"/>
        </w:rPr>
        <w:t xml:space="preserve"> Test robustness; </w:t>
      </w:r>
      <w:r w:rsidRPr="00A31324">
        <w:rPr>
          <w:rFonts w:ascii="Times New Roman" w:hAnsi="Times New Roman" w:cs="Times New Roman"/>
          <w:b/>
          <w:bCs/>
        </w:rPr>
        <w:t>a)</w:t>
      </w:r>
      <w:r w:rsidRPr="00A31324">
        <w:rPr>
          <w:rFonts w:ascii="Times New Roman" w:hAnsi="Times New Roman" w:cs="Times New Roman"/>
        </w:rPr>
        <w:t xml:space="preserve"> histogram of interpolated values on control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b/>
          <w:bCs/>
          <w:iCs/>
        </w:rPr>
        <w:t xml:space="preserve"> </w:t>
      </w:r>
      <w:r w:rsidRPr="00A31324">
        <w:rPr>
          <w:rFonts w:ascii="Times New Roman" w:hAnsi="Times New Roman" w:cs="Times New Roman"/>
        </w:rPr>
        <w:t xml:space="preserve">(x0=0.; y0=0) </w:t>
      </w:r>
      <w:r w:rsidRPr="00A31324">
        <w:rPr>
          <w:rFonts w:ascii="Times New Roman" w:eastAsiaTheme="minorEastAsia" w:hAnsi="Times New Roman" w:cs="Times New Roman"/>
          <w:iCs/>
        </w:rPr>
        <w:t xml:space="preserve">of Fig. 1a, test of randomly perturbated </w:t>
      </w:r>
      <w:r w:rsidRPr="007B337A">
        <w:rPr>
          <w:rFonts w:ascii="Times New Roman" w:eastAsiaTheme="minorEastAsia" w:hAnsi="Times New Roman" w:cs="Times New Roman"/>
          <w:iCs/>
        </w:rPr>
        <w:t xml:space="preserve"> with</w:t>
      </w:r>
      <w:r w:rsidRPr="00A31324">
        <w:rPr>
          <w:rFonts w:ascii="Times New Roman" w:eastAsiaTheme="minorEastAsia" w:hAnsi="Times New Roman" w:cs="Times New Roman"/>
          <w:iCs/>
        </w:rPr>
        <w:t xml:space="preserve"> a standard deviation of 1%; </w:t>
      </w:r>
      <w:r w:rsidRPr="00A31324">
        <w:rPr>
          <w:rFonts w:ascii="Times New Roman" w:eastAsiaTheme="minorEastAsia" w:hAnsi="Times New Roman" w:cs="Times New Roman"/>
          <w:b/>
          <w:bCs/>
          <w:iCs/>
        </w:rPr>
        <w:t>b)</w:t>
      </w:r>
      <w:r w:rsidRPr="00A31324">
        <w:rPr>
          <w:rFonts w:ascii="Times New Roman" w:eastAsiaTheme="minorEastAsia" w:hAnsi="Times New Roman" w:cs="Times New Roman"/>
          <w:iCs/>
        </w:rPr>
        <w:t xml:space="preserve"> histogram of </w:t>
      </w:r>
      <w:r w:rsidRPr="00A31324">
        <w:rPr>
          <w:rFonts w:ascii="Times New Roman" w:hAnsi="Times New Roman" w:cs="Times New Roman"/>
        </w:rPr>
        <w:t xml:space="preserve">control point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b/>
          <w:bCs/>
          <w:iCs/>
        </w:rPr>
        <w:t xml:space="preserve"> </w:t>
      </w:r>
      <w:r w:rsidRPr="00A31324">
        <w:rPr>
          <w:rFonts w:ascii="Times New Roman" w:eastAsiaTheme="minorEastAsia" w:hAnsi="Times New Roman" w:cs="Times New Roman"/>
          <w:iCs/>
        </w:rPr>
        <w:t xml:space="preserve">of Fig. 1a, of random perturbation with additional trimming method of one of the </w:t>
      </w:r>
      <w:r w:rsidRPr="007B337A">
        <w:rPr>
          <w:rFonts w:ascii="Times New Roman" w:hAnsi="Times New Roman" w:cs="Times New Roman"/>
          <w:i/>
          <w:iCs/>
        </w:rPr>
        <w:t>wreath</w:t>
      </w:r>
      <w:r w:rsidRPr="007B337A">
        <w:rPr>
          <w:rFonts w:ascii="Times New Roman" w:hAnsi="Times New Roman" w:cs="Times New Roman"/>
        </w:rPr>
        <w:t xml:space="preserve"> data of interpolation; </w:t>
      </w:r>
      <w:r w:rsidRPr="007B337A">
        <w:rPr>
          <w:rFonts w:ascii="Times New Roman" w:hAnsi="Times New Roman" w:cs="Times New Roman"/>
          <w:b/>
          <w:bCs/>
        </w:rPr>
        <w:t>c)</w:t>
      </w:r>
      <w:r w:rsidRPr="007B337A">
        <w:rPr>
          <w:rFonts w:ascii="Times New Roman" w:hAnsi="Times New Roman" w:cs="Times New Roman"/>
        </w:rPr>
        <w:t xml:space="preserve"> </w:t>
      </w:r>
      <w:r w:rsidRPr="00A31324">
        <w:rPr>
          <w:rFonts w:ascii="Times New Roman" w:eastAsiaTheme="minorEastAsia" w:hAnsi="Times New Roman" w:cs="Times New Roman"/>
          <w:iCs/>
        </w:rPr>
        <w:t>histogram of</w:t>
      </w:r>
      <w:r w:rsidRPr="00A31324">
        <w:rPr>
          <w:rFonts w:ascii="Times New Roman" w:hAnsi="Times New Roman" w:cs="Times New Roman"/>
        </w:rPr>
        <w:t xml:space="preserve"> the corresponding reliability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as given by formula (2) for the case in Fig. S4a; </w:t>
      </w:r>
      <w:r w:rsidRPr="00A31324">
        <w:rPr>
          <w:rFonts w:ascii="Times New Roman" w:hAnsi="Times New Roman" w:cs="Times New Roman"/>
          <w:b/>
          <w:bCs/>
        </w:rPr>
        <w:t>d)</w:t>
      </w:r>
      <w:r w:rsidRPr="00A31324">
        <w:rPr>
          <w:rFonts w:ascii="Times New Roman" w:hAnsi="Times New Roman" w:cs="Times New Roman"/>
        </w:rPr>
        <w:t xml:space="preserve"> </w:t>
      </w:r>
      <w:r w:rsidRPr="00A31324">
        <w:rPr>
          <w:rFonts w:ascii="Times New Roman" w:eastAsiaTheme="minorEastAsia" w:hAnsi="Times New Roman" w:cs="Times New Roman"/>
          <w:iCs/>
        </w:rPr>
        <w:t>histogram of</w:t>
      </w:r>
      <w:r w:rsidRPr="00A31324">
        <w:rPr>
          <w:rFonts w:ascii="Times New Roman" w:hAnsi="Times New Roman" w:cs="Times New Roman"/>
        </w:rPr>
        <w:t xml:space="preserve"> the corresponding reliability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hAnsi="Times New Roman" w:cs="Times New Roman"/>
        </w:rPr>
        <w:t xml:space="preserve"> as given by formula (2) for the case in Fig. S4b. For more details see Table S1.</w:t>
      </w:r>
    </w:p>
    <w:p w14:paraId="790A5CA1" w14:textId="77777777" w:rsidR="001837FA" w:rsidRPr="00A31324" w:rsidRDefault="001837FA" w:rsidP="001837FA">
      <w:pPr>
        <w:rPr>
          <w:rFonts w:ascii="Times New Roman" w:hAnsi="Times New Roman" w:cs="Times New Roman"/>
        </w:rPr>
      </w:pPr>
      <w:r w:rsidRPr="00A31324">
        <w:rPr>
          <w:rFonts w:ascii="Times New Roman" w:hAnsi="Times New Roman" w:cs="Times New Roman"/>
        </w:rPr>
        <w:br w:type="page"/>
      </w:r>
    </w:p>
    <w:p w14:paraId="1D907C6F" w14:textId="3F723E77" w:rsidR="001837FA" w:rsidRPr="00A31324" w:rsidRDefault="001837FA" w:rsidP="001837FA">
      <w:pPr>
        <w:spacing w:line="240" w:lineRule="auto"/>
        <w:rPr>
          <w:rFonts w:ascii="Times New Roman" w:hAnsi="Times New Roman" w:cs="Times New Roman"/>
        </w:rPr>
      </w:pPr>
      <w:r w:rsidRPr="00A31324">
        <w:rPr>
          <w:rFonts w:ascii="Times New Roman" w:hAnsi="Times New Roman" w:cs="Times New Roman"/>
        </w:rPr>
        <w:lastRenderedPageBreak/>
        <w:t xml:space="preserve">Table </w:t>
      </w:r>
      <w:r w:rsidR="005B46E7">
        <w:rPr>
          <w:rFonts w:ascii="Times New Roman" w:hAnsi="Times New Roman" w:cs="Times New Roman"/>
        </w:rPr>
        <w:t>S1</w:t>
      </w:r>
      <w:r w:rsidRPr="00A31324">
        <w:rPr>
          <w:rFonts w:ascii="Times New Roman" w:hAnsi="Times New Roman" w:cs="Times New Roman"/>
        </w:rPr>
        <w:t xml:space="preserve"> Statistics on the robustness of the natural neighbour configuration of point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r>
          <w:rPr>
            <w:rFonts w:ascii="Cambria Math" w:hAnsi="Cambria Math" w:cs="Times New Roman"/>
          </w:rPr>
          <m:t xml:space="preserve"> </m:t>
        </m:r>
      </m:oMath>
      <w:r w:rsidRPr="00A31324">
        <w:rPr>
          <w:rFonts w:ascii="Times New Roman" w:eastAsiaTheme="minorEastAsia" w:hAnsi="Times New Roman" w:cs="Times New Roman"/>
        </w:rPr>
        <w:t xml:space="preserve">in Fig. 1. In the trimming test (from the second row), the sequence of erased data is in a clockwise direction, starting from the VII value to the left of </w:t>
      </w:r>
      <m:oMath>
        <m:sSup>
          <m:sSupPr>
            <m:ctrlPr>
              <w:rPr>
                <w:rFonts w:ascii="Cambria Math" w:hAnsi="Cambria Math" w:cs="Times New Roman"/>
                <w:b/>
                <w:bCs/>
                <w:i/>
                <w:iCs/>
              </w:rPr>
            </m:ctrlPr>
          </m:sSupPr>
          <m:e>
            <m:r>
              <m:rPr>
                <m:sty m:val="bi"/>
              </m:rPr>
              <w:rPr>
                <w:rFonts w:ascii="Cambria Math" w:hAnsi="Cambria Math" w:cs="Times New Roman"/>
              </w:rPr>
              <m:t>x</m:t>
            </m:r>
          </m:e>
          <m:sup>
            <m:r>
              <m:rPr>
                <m:sty m:val="bi"/>
              </m:rPr>
              <w:rPr>
                <w:rFonts w:ascii="Cambria Math" w:hAnsi="Cambria Math" w:cs="Times New Roman"/>
              </w:rPr>
              <m:t>*</m:t>
            </m:r>
          </m:sup>
        </m:sSup>
      </m:oMath>
      <w:r w:rsidRPr="00A31324">
        <w:rPr>
          <w:rFonts w:ascii="Times New Roman" w:eastAsiaTheme="minorEastAsia" w:hAnsi="Times New Roman" w:cs="Times New Roman"/>
        </w:rPr>
        <w:t>. The last row shows the cumulative statistics for all other configurations.</w:t>
      </w:r>
    </w:p>
    <w:tbl>
      <w:tblPr>
        <w:tblStyle w:val="Grigliatabella"/>
        <w:tblW w:w="0" w:type="auto"/>
        <w:tblLook w:val="04A0" w:firstRow="1" w:lastRow="0" w:firstColumn="1" w:lastColumn="0" w:noHBand="0" w:noVBand="1"/>
      </w:tblPr>
      <w:tblGrid>
        <w:gridCol w:w="1758"/>
        <w:gridCol w:w="1212"/>
        <w:gridCol w:w="1134"/>
        <w:gridCol w:w="992"/>
        <w:gridCol w:w="1276"/>
        <w:gridCol w:w="1230"/>
        <w:gridCol w:w="1230"/>
      </w:tblGrid>
      <w:tr w:rsidR="001837FA" w:rsidRPr="00A31324" w14:paraId="32AF59E5" w14:textId="77777777" w:rsidTr="004E745B">
        <w:tc>
          <w:tcPr>
            <w:tcW w:w="1758" w:type="dxa"/>
          </w:tcPr>
          <w:p w14:paraId="4B027030" w14:textId="77777777" w:rsidR="001837FA" w:rsidRPr="007B337A" w:rsidRDefault="001837FA" w:rsidP="004E745B">
            <w:pPr>
              <w:spacing w:line="360" w:lineRule="auto"/>
              <w:rPr>
                <w:rFonts w:ascii="Times New Roman" w:eastAsiaTheme="minorEastAsia" w:hAnsi="Times New Roman" w:cs="Times New Roman"/>
              </w:rPr>
            </w:pPr>
            <w:r w:rsidRPr="007B337A">
              <w:rPr>
                <w:rFonts w:ascii="Times New Roman" w:hAnsi="Times New Roman" w:cs="Times New Roman"/>
              </w:rPr>
              <w:t>Configuration</w:t>
            </w:r>
          </w:p>
          <w:p w14:paraId="3796AE51" w14:textId="77777777" w:rsidR="001837FA" w:rsidRPr="007B337A" w:rsidRDefault="001837FA" w:rsidP="004E745B">
            <w:pPr>
              <w:spacing w:line="360" w:lineRule="auto"/>
              <w:rPr>
                <w:rFonts w:ascii="Times New Roman" w:hAnsi="Times New Roman" w:cs="Times New Roman"/>
              </w:rPr>
            </w:pPr>
          </w:p>
        </w:tc>
        <w:tc>
          <w:tcPr>
            <w:tcW w:w="1212" w:type="dxa"/>
          </w:tcPr>
          <w:p w14:paraId="2AAA1AD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Interp value</w:t>
            </w:r>
          </w:p>
          <w:p w14:paraId="5AD4738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 xml:space="preserve">Mean </w:t>
            </w:r>
          </w:p>
        </w:tc>
        <w:tc>
          <w:tcPr>
            <w:tcW w:w="1134" w:type="dxa"/>
          </w:tcPr>
          <w:p w14:paraId="236128E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Interp value</w:t>
            </w:r>
          </w:p>
          <w:p w14:paraId="616B39D3"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Std</w:t>
            </w:r>
          </w:p>
        </w:tc>
        <w:tc>
          <w:tcPr>
            <w:tcW w:w="992" w:type="dxa"/>
          </w:tcPr>
          <w:p w14:paraId="699642EB"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Interp value</w:t>
            </w:r>
          </w:p>
          <w:p w14:paraId="44922775"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Median</w:t>
            </w:r>
          </w:p>
        </w:tc>
        <w:tc>
          <w:tcPr>
            <w:tcW w:w="1276" w:type="dxa"/>
          </w:tcPr>
          <w:p w14:paraId="3600978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 xml:space="preserve">Reliability Mean </w:t>
            </w:r>
          </w:p>
        </w:tc>
        <w:tc>
          <w:tcPr>
            <w:tcW w:w="1134" w:type="dxa"/>
          </w:tcPr>
          <w:p w14:paraId="4FC2290D"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Reliability Std</w:t>
            </w:r>
          </w:p>
        </w:tc>
        <w:tc>
          <w:tcPr>
            <w:tcW w:w="1134" w:type="dxa"/>
          </w:tcPr>
          <w:p w14:paraId="66ADC01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Reliability Median</w:t>
            </w:r>
          </w:p>
        </w:tc>
      </w:tr>
      <w:tr w:rsidR="001837FA" w:rsidRPr="00A31324" w14:paraId="7C1C7C37" w14:textId="77777777" w:rsidTr="004E745B">
        <w:tc>
          <w:tcPr>
            <w:tcW w:w="1758" w:type="dxa"/>
          </w:tcPr>
          <w:p w14:paraId="0C1885BA"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All natural neighbours</w:t>
            </w:r>
          </w:p>
        </w:tc>
        <w:tc>
          <w:tcPr>
            <w:tcW w:w="1212" w:type="dxa"/>
          </w:tcPr>
          <w:p w14:paraId="23CEFAC0"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6.586</w:t>
            </w:r>
          </w:p>
        </w:tc>
        <w:tc>
          <w:tcPr>
            <w:tcW w:w="1134" w:type="dxa"/>
          </w:tcPr>
          <w:p w14:paraId="56766AD8"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0.062</w:t>
            </w:r>
          </w:p>
        </w:tc>
        <w:tc>
          <w:tcPr>
            <w:tcW w:w="992" w:type="dxa"/>
          </w:tcPr>
          <w:p w14:paraId="17EDCB2B"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6.589</w:t>
            </w:r>
          </w:p>
        </w:tc>
        <w:tc>
          <w:tcPr>
            <w:tcW w:w="1276" w:type="dxa"/>
          </w:tcPr>
          <w:p w14:paraId="1897FD47" w14:textId="77777777" w:rsidR="001837FA" w:rsidRPr="00A31324" w:rsidRDefault="001837FA" w:rsidP="004E745B">
            <w:pPr>
              <w:tabs>
                <w:tab w:val="left" w:pos="840"/>
              </w:tabs>
              <w:spacing w:line="360" w:lineRule="auto"/>
              <w:rPr>
                <w:rFonts w:ascii="Times New Roman" w:hAnsi="Times New Roman" w:cs="Times New Roman"/>
              </w:rPr>
            </w:pPr>
            <w:r w:rsidRPr="00A31324">
              <w:rPr>
                <w:rFonts w:ascii="Times New Roman" w:hAnsi="Times New Roman" w:cs="Times New Roman"/>
              </w:rPr>
              <w:t>0.269</w:t>
            </w:r>
          </w:p>
        </w:tc>
        <w:tc>
          <w:tcPr>
            <w:tcW w:w="1134" w:type="dxa"/>
          </w:tcPr>
          <w:p w14:paraId="19DC394E"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0.054</w:t>
            </w:r>
          </w:p>
        </w:tc>
        <w:tc>
          <w:tcPr>
            <w:tcW w:w="1134" w:type="dxa"/>
          </w:tcPr>
          <w:p w14:paraId="308F14C4"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0.267</w:t>
            </w:r>
          </w:p>
        </w:tc>
      </w:tr>
      <w:tr w:rsidR="001837FA" w:rsidRPr="00A31324" w14:paraId="115F741C" w14:textId="77777777" w:rsidTr="004E745B">
        <w:tc>
          <w:tcPr>
            <w:tcW w:w="1758" w:type="dxa"/>
          </w:tcPr>
          <w:p w14:paraId="6BD6421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Rem. VII left</w:t>
            </w:r>
          </w:p>
        </w:tc>
        <w:tc>
          <w:tcPr>
            <w:tcW w:w="1212" w:type="dxa"/>
          </w:tcPr>
          <w:p w14:paraId="15B24CCB"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6.716</w:t>
            </w:r>
          </w:p>
        </w:tc>
        <w:tc>
          <w:tcPr>
            <w:tcW w:w="1134" w:type="dxa"/>
          </w:tcPr>
          <w:p w14:paraId="7438B28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0.062</w:t>
            </w:r>
          </w:p>
        </w:tc>
        <w:tc>
          <w:tcPr>
            <w:tcW w:w="992" w:type="dxa"/>
          </w:tcPr>
          <w:p w14:paraId="3E25DA62"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6.717</w:t>
            </w:r>
          </w:p>
        </w:tc>
        <w:tc>
          <w:tcPr>
            <w:tcW w:w="1276" w:type="dxa"/>
          </w:tcPr>
          <w:p w14:paraId="4D37A676"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0.478</w:t>
            </w:r>
          </w:p>
        </w:tc>
        <w:tc>
          <w:tcPr>
            <w:tcW w:w="1134" w:type="dxa"/>
          </w:tcPr>
          <w:p w14:paraId="6AF9D3EE"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0.027</w:t>
            </w:r>
          </w:p>
        </w:tc>
        <w:tc>
          <w:tcPr>
            <w:tcW w:w="1134" w:type="dxa"/>
          </w:tcPr>
          <w:p w14:paraId="0D44543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0.480</w:t>
            </w:r>
          </w:p>
        </w:tc>
      </w:tr>
      <w:tr w:rsidR="001837FA" w:rsidRPr="00A31324" w14:paraId="30534106" w14:textId="77777777" w:rsidTr="004E745B">
        <w:tc>
          <w:tcPr>
            <w:tcW w:w="1758" w:type="dxa"/>
          </w:tcPr>
          <w:p w14:paraId="15F61D82"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Rem. V up</w:t>
            </w:r>
          </w:p>
        </w:tc>
        <w:tc>
          <w:tcPr>
            <w:tcW w:w="1212" w:type="dxa"/>
          </w:tcPr>
          <w:p w14:paraId="1DD6B4B5" w14:textId="77777777" w:rsidR="001837FA" w:rsidRPr="00A31324" w:rsidRDefault="001837FA" w:rsidP="004E745B">
            <w:pPr>
              <w:spacing w:line="360" w:lineRule="auto"/>
              <w:jc w:val="both"/>
              <w:rPr>
                <w:rFonts w:ascii="Times New Roman" w:hAnsi="Times New Roman" w:cs="Times New Roman"/>
              </w:rPr>
            </w:pPr>
            <w:r w:rsidRPr="00A31324">
              <w:rPr>
                <w:rFonts w:ascii="Times New Roman" w:hAnsi="Times New Roman" w:cs="Times New Roman"/>
              </w:rPr>
              <w:t>6.509</w:t>
            </w:r>
          </w:p>
        </w:tc>
        <w:tc>
          <w:tcPr>
            <w:tcW w:w="1134" w:type="dxa"/>
          </w:tcPr>
          <w:p w14:paraId="50DF4B3C"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0.049</w:t>
            </w:r>
          </w:p>
        </w:tc>
        <w:tc>
          <w:tcPr>
            <w:tcW w:w="992" w:type="dxa"/>
          </w:tcPr>
          <w:p w14:paraId="21562194"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6.509</w:t>
            </w:r>
          </w:p>
        </w:tc>
        <w:tc>
          <w:tcPr>
            <w:tcW w:w="1276" w:type="dxa"/>
          </w:tcPr>
          <w:p w14:paraId="0052EA02"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0.199</w:t>
            </w:r>
          </w:p>
        </w:tc>
        <w:tc>
          <w:tcPr>
            <w:tcW w:w="1134" w:type="dxa"/>
          </w:tcPr>
          <w:p w14:paraId="07E80DE5"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0.048</w:t>
            </w:r>
          </w:p>
        </w:tc>
        <w:tc>
          <w:tcPr>
            <w:tcW w:w="1134" w:type="dxa"/>
          </w:tcPr>
          <w:p w14:paraId="6C69C263"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0.198</w:t>
            </w:r>
          </w:p>
        </w:tc>
      </w:tr>
      <w:tr w:rsidR="001837FA" w:rsidRPr="00A31324" w14:paraId="349853A9" w14:textId="77777777" w:rsidTr="004E745B">
        <w:tc>
          <w:tcPr>
            <w:tcW w:w="1758" w:type="dxa"/>
          </w:tcPr>
          <w:p w14:paraId="04F2517C"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Rem. V right</w:t>
            </w:r>
          </w:p>
        </w:tc>
        <w:tc>
          <w:tcPr>
            <w:tcW w:w="1212" w:type="dxa"/>
          </w:tcPr>
          <w:p w14:paraId="5F2CAE6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6.748</w:t>
            </w:r>
          </w:p>
        </w:tc>
        <w:tc>
          <w:tcPr>
            <w:tcW w:w="1134" w:type="dxa"/>
          </w:tcPr>
          <w:p w14:paraId="502B93A3"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0.056</w:t>
            </w:r>
          </w:p>
        </w:tc>
        <w:tc>
          <w:tcPr>
            <w:tcW w:w="992" w:type="dxa"/>
          </w:tcPr>
          <w:p w14:paraId="32CBB57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6.744</w:t>
            </w:r>
          </w:p>
        </w:tc>
        <w:tc>
          <w:tcPr>
            <w:tcW w:w="1276" w:type="dxa"/>
          </w:tcPr>
          <w:p w14:paraId="4BFDB3F4"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0.251</w:t>
            </w:r>
          </w:p>
        </w:tc>
        <w:tc>
          <w:tcPr>
            <w:tcW w:w="1134" w:type="dxa"/>
          </w:tcPr>
          <w:p w14:paraId="5EED7F0A"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0.062</w:t>
            </w:r>
          </w:p>
        </w:tc>
        <w:tc>
          <w:tcPr>
            <w:tcW w:w="1134" w:type="dxa"/>
          </w:tcPr>
          <w:p w14:paraId="582F95F2"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0.251</w:t>
            </w:r>
          </w:p>
        </w:tc>
      </w:tr>
      <w:tr w:rsidR="001837FA" w:rsidRPr="00A31324" w14:paraId="34148566" w14:textId="77777777" w:rsidTr="004E745B">
        <w:tc>
          <w:tcPr>
            <w:tcW w:w="1758" w:type="dxa"/>
          </w:tcPr>
          <w:p w14:paraId="52CE3FB4"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Rem. VII</w:t>
            </w:r>
          </w:p>
        </w:tc>
        <w:tc>
          <w:tcPr>
            <w:tcW w:w="1212" w:type="dxa"/>
          </w:tcPr>
          <w:p w14:paraId="4D6EB6E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6.391</w:t>
            </w:r>
          </w:p>
        </w:tc>
        <w:tc>
          <w:tcPr>
            <w:tcW w:w="1134" w:type="dxa"/>
          </w:tcPr>
          <w:p w14:paraId="2B6BA5F1"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0.068</w:t>
            </w:r>
          </w:p>
        </w:tc>
        <w:tc>
          <w:tcPr>
            <w:tcW w:w="992" w:type="dxa"/>
          </w:tcPr>
          <w:p w14:paraId="5BC9E936"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6.384</w:t>
            </w:r>
          </w:p>
        </w:tc>
        <w:tc>
          <w:tcPr>
            <w:tcW w:w="1276" w:type="dxa"/>
          </w:tcPr>
          <w:p w14:paraId="6C04B493"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0.285</w:t>
            </w:r>
          </w:p>
        </w:tc>
        <w:tc>
          <w:tcPr>
            <w:tcW w:w="1134" w:type="dxa"/>
          </w:tcPr>
          <w:p w14:paraId="0B906431"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0.055</w:t>
            </w:r>
          </w:p>
        </w:tc>
        <w:tc>
          <w:tcPr>
            <w:tcW w:w="1134" w:type="dxa"/>
          </w:tcPr>
          <w:p w14:paraId="3D6057C9"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0.291</w:t>
            </w:r>
          </w:p>
        </w:tc>
      </w:tr>
      <w:tr w:rsidR="001837FA" w:rsidRPr="00A31324" w14:paraId="27796C91" w14:textId="77777777" w:rsidTr="004E745B">
        <w:tc>
          <w:tcPr>
            <w:tcW w:w="1758" w:type="dxa"/>
          </w:tcPr>
          <w:p w14:paraId="124E698F"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Rem. VI</w:t>
            </w:r>
          </w:p>
        </w:tc>
        <w:tc>
          <w:tcPr>
            <w:tcW w:w="1212" w:type="dxa"/>
          </w:tcPr>
          <w:p w14:paraId="65343BB5"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6.604</w:t>
            </w:r>
          </w:p>
        </w:tc>
        <w:tc>
          <w:tcPr>
            <w:tcW w:w="1134" w:type="dxa"/>
          </w:tcPr>
          <w:p w14:paraId="1FE387C4"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0.050</w:t>
            </w:r>
          </w:p>
        </w:tc>
        <w:tc>
          <w:tcPr>
            <w:tcW w:w="992" w:type="dxa"/>
          </w:tcPr>
          <w:p w14:paraId="76DC2B17"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6.599</w:t>
            </w:r>
          </w:p>
        </w:tc>
        <w:tc>
          <w:tcPr>
            <w:tcW w:w="1276" w:type="dxa"/>
          </w:tcPr>
          <w:p w14:paraId="776DF6BB" w14:textId="77777777" w:rsidR="001837FA" w:rsidRPr="00A31324" w:rsidRDefault="001837FA" w:rsidP="004E745B">
            <w:pPr>
              <w:tabs>
                <w:tab w:val="left" w:pos="851"/>
              </w:tabs>
              <w:spacing w:line="360" w:lineRule="auto"/>
              <w:rPr>
                <w:rFonts w:ascii="Times New Roman" w:hAnsi="Times New Roman" w:cs="Times New Roman"/>
              </w:rPr>
            </w:pPr>
            <w:r w:rsidRPr="00A31324">
              <w:rPr>
                <w:rFonts w:ascii="Times New Roman" w:hAnsi="Times New Roman" w:cs="Times New Roman"/>
              </w:rPr>
              <w:t>0.280</w:t>
            </w:r>
          </w:p>
        </w:tc>
        <w:tc>
          <w:tcPr>
            <w:tcW w:w="1134" w:type="dxa"/>
          </w:tcPr>
          <w:p w14:paraId="509F5AFE"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0.056</w:t>
            </w:r>
          </w:p>
        </w:tc>
        <w:tc>
          <w:tcPr>
            <w:tcW w:w="1134" w:type="dxa"/>
          </w:tcPr>
          <w:p w14:paraId="0C72B43E"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0.279</w:t>
            </w:r>
          </w:p>
        </w:tc>
      </w:tr>
      <w:tr w:rsidR="001837FA" w:rsidRPr="00A31324" w14:paraId="3A087DBB" w14:textId="77777777" w:rsidTr="004E745B">
        <w:tc>
          <w:tcPr>
            <w:tcW w:w="1758" w:type="dxa"/>
          </w:tcPr>
          <w:p w14:paraId="7846B96F"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Cumulative</w:t>
            </w:r>
          </w:p>
        </w:tc>
        <w:tc>
          <w:tcPr>
            <w:tcW w:w="1212" w:type="dxa"/>
          </w:tcPr>
          <w:p w14:paraId="4C44D175"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6.592</w:t>
            </w:r>
          </w:p>
        </w:tc>
        <w:tc>
          <w:tcPr>
            <w:tcW w:w="1134" w:type="dxa"/>
          </w:tcPr>
          <w:p w14:paraId="07245258"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0.134</w:t>
            </w:r>
          </w:p>
        </w:tc>
        <w:tc>
          <w:tcPr>
            <w:tcW w:w="992" w:type="dxa"/>
          </w:tcPr>
          <w:p w14:paraId="1777AF78"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6.595</w:t>
            </w:r>
          </w:p>
        </w:tc>
        <w:tc>
          <w:tcPr>
            <w:tcW w:w="1276" w:type="dxa"/>
          </w:tcPr>
          <w:p w14:paraId="65935C98"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0.294</w:t>
            </w:r>
          </w:p>
        </w:tc>
        <w:tc>
          <w:tcPr>
            <w:tcW w:w="1134" w:type="dxa"/>
          </w:tcPr>
          <w:p w14:paraId="6154106E"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0.101</w:t>
            </w:r>
          </w:p>
        </w:tc>
        <w:tc>
          <w:tcPr>
            <w:tcW w:w="1134" w:type="dxa"/>
          </w:tcPr>
          <w:p w14:paraId="7107244C" w14:textId="77777777" w:rsidR="001837FA" w:rsidRPr="00A31324" w:rsidRDefault="001837FA" w:rsidP="004E745B">
            <w:pPr>
              <w:spacing w:line="360" w:lineRule="auto"/>
              <w:rPr>
                <w:rFonts w:ascii="Times New Roman" w:hAnsi="Times New Roman" w:cs="Times New Roman"/>
              </w:rPr>
            </w:pPr>
            <w:r w:rsidRPr="00A31324">
              <w:rPr>
                <w:rFonts w:ascii="Times New Roman" w:hAnsi="Times New Roman" w:cs="Times New Roman"/>
              </w:rPr>
              <w:t>0.274</w:t>
            </w:r>
          </w:p>
        </w:tc>
      </w:tr>
    </w:tbl>
    <w:p w14:paraId="72CC4E2A" w14:textId="77777777" w:rsidR="001837FA" w:rsidRPr="00A31324" w:rsidRDefault="001837FA" w:rsidP="001837FA">
      <w:pPr>
        <w:spacing w:line="360" w:lineRule="auto"/>
        <w:rPr>
          <w:rFonts w:ascii="Times New Roman" w:hAnsi="Times New Roman" w:cs="Times New Roman"/>
        </w:rPr>
      </w:pPr>
    </w:p>
    <w:p w14:paraId="22DF9C4B" w14:textId="77777777" w:rsidR="001837FA" w:rsidRPr="00A31324" w:rsidRDefault="001837FA" w:rsidP="001837FA">
      <w:pPr>
        <w:spacing w:line="360" w:lineRule="auto"/>
        <w:rPr>
          <w:rFonts w:ascii="Times New Roman" w:hAnsi="Times New Roman" w:cs="Times New Roman"/>
          <w:b/>
          <w:bCs/>
        </w:rPr>
      </w:pPr>
      <w:r w:rsidRPr="00A31324">
        <w:rPr>
          <w:rFonts w:ascii="Times New Roman" w:hAnsi="Times New Roman" w:cs="Times New Roman"/>
          <w:b/>
          <w:bCs/>
        </w:rPr>
        <w:t>References</w:t>
      </w:r>
    </w:p>
    <w:p w14:paraId="777BA69C" w14:textId="77777777" w:rsidR="001837FA" w:rsidRPr="00A31324" w:rsidRDefault="001837FA" w:rsidP="001837FA">
      <w:pPr>
        <w:spacing w:line="240" w:lineRule="auto"/>
        <w:ind w:left="709" w:right="-6" w:hanging="709"/>
        <w:rPr>
          <w:rFonts w:ascii="Times New Roman" w:hAnsi="Times New Roman" w:cs="Times New Roman"/>
        </w:rPr>
      </w:pPr>
      <w:r w:rsidRPr="00A31324">
        <w:rPr>
          <w:rFonts w:ascii="Times New Roman" w:hAnsi="Times New Roman" w:cs="Times New Roman"/>
        </w:rPr>
        <w:t xml:space="preserve">Iurcev, M., and F., Pettenati (2023). Exploring error estimation methods for natural neighbour interpolation: preliminary research and analysis. Bull. Geoph. Ocean. Vol. 64, 4, 433-448, December 2023. </w:t>
      </w:r>
      <w:hyperlink r:id="rId8" w:history="1">
        <w:r w:rsidRPr="00A31324">
          <w:rPr>
            <w:rStyle w:val="Collegamentoipertestuale"/>
            <w:rFonts w:ascii="Times New Roman" w:hAnsi="Times New Roman" w:cs="Times New Roman"/>
          </w:rPr>
          <w:t>https://doi.org/10.4430/bgo00423</w:t>
        </w:r>
      </w:hyperlink>
      <w:r w:rsidRPr="00A31324">
        <w:rPr>
          <w:rFonts w:ascii="Times New Roman" w:hAnsi="Times New Roman" w:cs="Times New Roman"/>
        </w:rPr>
        <w:t>.</w:t>
      </w:r>
    </w:p>
    <w:p w14:paraId="5DB3A5CE" w14:textId="77777777" w:rsidR="001837FA" w:rsidRPr="00A31324" w:rsidRDefault="001837FA" w:rsidP="001837FA">
      <w:pPr>
        <w:spacing w:line="240" w:lineRule="auto"/>
        <w:ind w:left="709" w:right="-7" w:hanging="709"/>
        <w:rPr>
          <w:rFonts w:ascii="Times New Roman" w:hAnsi="Times New Roman" w:cs="Times New Roman"/>
        </w:rPr>
      </w:pPr>
      <w:r w:rsidRPr="00A31324">
        <w:rPr>
          <w:rFonts w:ascii="Times New Roman" w:hAnsi="Times New Roman" w:cs="Times New Roman"/>
        </w:rPr>
        <w:t xml:space="preserve">Okabe, A.B., Boots B., Sugihara, K., and Chiu, S.N. (2000). </w:t>
      </w:r>
      <w:r w:rsidRPr="00A31324">
        <w:rPr>
          <w:rFonts w:ascii="Times New Roman" w:hAnsi="Times New Roman" w:cs="Times New Roman"/>
          <w:i/>
          <w:iCs/>
        </w:rPr>
        <w:t>Spatial Tessellation</w:t>
      </w:r>
      <w:r w:rsidRPr="00A31324">
        <w:rPr>
          <w:rFonts w:ascii="Times New Roman" w:hAnsi="Times New Roman" w:cs="Times New Roman"/>
        </w:rPr>
        <w:t>. Second ed., Wiley, Chichester, 671 pp.</w:t>
      </w:r>
    </w:p>
    <w:p w14:paraId="4FECC8D8" w14:textId="77777777" w:rsidR="001837FA" w:rsidRPr="00A31324" w:rsidRDefault="001837FA" w:rsidP="001837FA">
      <w:pPr>
        <w:pBdr>
          <w:top w:val="nil"/>
          <w:left w:val="nil"/>
          <w:bottom w:val="nil"/>
          <w:right w:val="nil"/>
          <w:between w:val="nil"/>
        </w:pBdr>
        <w:spacing w:line="240" w:lineRule="auto"/>
        <w:ind w:left="709" w:hanging="709"/>
        <w:rPr>
          <w:rFonts w:ascii="Times New Roman" w:eastAsia="Times" w:hAnsi="Times New Roman" w:cs="Times New Roman"/>
        </w:rPr>
      </w:pPr>
      <w:r w:rsidRPr="00A31324">
        <w:rPr>
          <w:rFonts w:ascii="Times New Roman" w:eastAsia="Times" w:hAnsi="Times New Roman" w:cs="Times New Roman"/>
        </w:rPr>
        <w:t>Sibson, R. (1981). A brief description of natural neighbor interpolation. Interpreting Multivariate Data, V. Barnett editor, Chichester, John Wiley, 21-36.</w:t>
      </w:r>
    </w:p>
    <w:p w14:paraId="47392967" w14:textId="77777777" w:rsidR="00CC6F61" w:rsidRDefault="00CC6F61"/>
    <w:sectPr w:rsidR="00CC6F61" w:rsidSect="001837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FA"/>
    <w:rsid w:val="000D320E"/>
    <w:rsid w:val="001837FA"/>
    <w:rsid w:val="005B46E7"/>
    <w:rsid w:val="0063535E"/>
    <w:rsid w:val="00882A60"/>
    <w:rsid w:val="009778B3"/>
    <w:rsid w:val="00C478BD"/>
    <w:rsid w:val="00CC6F61"/>
    <w:rsid w:val="00F514D3"/>
    <w:rsid w:val="00F967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DAD1"/>
  <w15:chartTrackingRefBased/>
  <w15:docId w15:val="{9BD0F59F-D67E-402B-A9E0-D1007F80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37FA"/>
    <w:pPr>
      <w:spacing w:line="278" w:lineRule="auto"/>
    </w:pPr>
    <w:rPr>
      <w:sz w:val="24"/>
      <w:szCs w:val="24"/>
      <w:lang w:val="en-GB"/>
    </w:rPr>
  </w:style>
  <w:style w:type="paragraph" w:styleId="Titolo1">
    <w:name w:val="heading 1"/>
    <w:basedOn w:val="Normale"/>
    <w:next w:val="Normale"/>
    <w:link w:val="Titolo1Carattere"/>
    <w:uiPriority w:val="9"/>
    <w:qFormat/>
    <w:rsid w:val="001837F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it-IT"/>
    </w:rPr>
  </w:style>
  <w:style w:type="paragraph" w:styleId="Titolo2">
    <w:name w:val="heading 2"/>
    <w:basedOn w:val="Normale"/>
    <w:next w:val="Normale"/>
    <w:link w:val="Titolo2Carattere"/>
    <w:uiPriority w:val="9"/>
    <w:semiHidden/>
    <w:unhideWhenUsed/>
    <w:qFormat/>
    <w:rsid w:val="001837F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it-IT"/>
    </w:rPr>
  </w:style>
  <w:style w:type="paragraph" w:styleId="Titolo3">
    <w:name w:val="heading 3"/>
    <w:basedOn w:val="Normale"/>
    <w:next w:val="Normale"/>
    <w:link w:val="Titolo3Carattere"/>
    <w:uiPriority w:val="9"/>
    <w:semiHidden/>
    <w:unhideWhenUsed/>
    <w:qFormat/>
    <w:rsid w:val="001837FA"/>
    <w:pPr>
      <w:keepNext/>
      <w:keepLines/>
      <w:spacing w:before="160" w:after="80" w:line="259" w:lineRule="auto"/>
      <w:outlineLvl w:val="2"/>
    </w:pPr>
    <w:rPr>
      <w:rFonts w:eastAsiaTheme="majorEastAsia" w:cstheme="majorBidi"/>
      <w:color w:val="0F4761" w:themeColor="accent1" w:themeShade="BF"/>
      <w:sz w:val="28"/>
      <w:szCs w:val="28"/>
      <w:lang w:val="it-IT"/>
    </w:rPr>
  </w:style>
  <w:style w:type="paragraph" w:styleId="Titolo4">
    <w:name w:val="heading 4"/>
    <w:basedOn w:val="Normale"/>
    <w:next w:val="Normale"/>
    <w:link w:val="Titolo4Carattere"/>
    <w:uiPriority w:val="9"/>
    <w:semiHidden/>
    <w:unhideWhenUsed/>
    <w:qFormat/>
    <w:rsid w:val="001837FA"/>
    <w:pPr>
      <w:keepNext/>
      <w:keepLines/>
      <w:spacing w:before="80" w:after="40" w:line="259" w:lineRule="auto"/>
      <w:outlineLvl w:val="3"/>
    </w:pPr>
    <w:rPr>
      <w:rFonts w:eastAsiaTheme="majorEastAsia" w:cstheme="majorBidi"/>
      <w:i/>
      <w:iCs/>
      <w:color w:val="0F4761" w:themeColor="accent1" w:themeShade="BF"/>
      <w:sz w:val="22"/>
      <w:szCs w:val="22"/>
      <w:lang w:val="it-IT"/>
    </w:rPr>
  </w:style>
  <w:style w:type="paragraph" w:styleId="Titolo5">
    <w:name w:val="heading 5"/>
    <w:basedOn w:val="Normale"/>
    <w:next w:val="Normale"/>
    <w:link w:val="Titolo5Carattere"/>
    <w:uiPriority w:val="9"/>
    <w:semiHidden/>
    <w:unhideWhenUsed/>
    <w:qFormat/>
    <w:rsid w:val="001837FA"/>
    <w:pPr>
      <w:keepNext/>
      <w:keepLines/>
      <w:spacing w:before="80" w:after="40" w:line="259" w:lineRule="auto"/>
      <w:outlineLvl w:val="4"/>
    </w:pPr>
    <w:rPr>
      <w:rFonts w:eastAsiaTheme="majorEastAsia" w:cstheme="majorBidi"/>
      <w:color w:val="0F4761" w:themeColor="accent1" w:themeShade="BF"/>
      <w:sz w:val="22"/>
      <w:szCs w:val="22"/>
      <w:lang w:val="it-IT"/>
    </w:rPr>
  </w:style>
  <w:style w:type="paragraph" w:styleId="Titolo6">
    <w:name w:val="heading 6"/>
    <w:basedOn w:val="Normale"/>
    <w:next w:val="Normale"/>
    <w:link w:val="Titolo6Carattere"/>
    <w:uiPriority w:val="9"/>
    <w:semiHidden/>
    <w:unhideWhenUsed/>
    <w:qFormat/>
    <w:rsid w:val="001837FA"/>
    <w:pPr>
      <w:keepNext/>
      <w:keepLines/>
      <w:spacing w:before="40" w:after="0" w:line="259" w:lineRule="auto"/>
      <w:outlineLvl w:val="5"/>
    </w:pPr>
    <w:rPr>
      <w:rFonts w:eastAsiaTheme="majorEastAsia" w:cstheme="majorBidi"/>
      <w:i/>
      <w:iCs/>
      <w:color w:val="595959" w:themeColor="text1" w:themeTint="A6"/>
      <w:sz w:val="22"/>
      <w:szCs w:val="22"/>
      <w:lang w:val="it-IT"/>
    </w:rPr>
  </w:style>
  <w:style w:type="paragraph" w:styleId="Titolo7">
    <w:name w:val="heading 7"/>
    <w:basedOn w:val="Normale"/>
    <w:next w:val="Normale"/>
    <w:link w:val="Titolo7Carattere"/>
    <w:uiPriority w:val="9"/>
    <w:semiHidden/>
    <w:unhideWhenUsed/>
    <w:qFormat/>
    <w:rsid w:val="001837FA"/>
    <w:pPr>
      <w:keepNext/>
      <w:keepLines/>
      <w:spacing w:before="40" w:after="0" w:line="259" w:lineRule="auto"/>
      <w:outlineLvl w:val="6"/>
    </w:pPr>
    <w:rPr>
      <w:rFonts w:eastAsiaTheme="majorEastAsia" w:cstheme="majorBidi"/>
      <w:color w:val="595959" w:themeColor="text1" w:themeTint="A6"/>
      <w:sz w:val="22"/>
      <w:szCs w:val="22"/>
      <w:lang w:val="it-IT"/>
    </w:rPr>
  </w:style>
  <w:style w:type="paragraph" w:styleId="Titolo8">
    <w:name w:val="heading 8"/>
    <w:basedOn w:val="Normale"/>
    <w:next w:val="Normale"/>
    <w:link w:val="Titolo8Carattere"/>
    <w:uiPriority w:val="9"/>
    <w:semiHidden/>
    <w:unhideWhenUsed/>
    <w:qFormat/>
    <w:rsid w:val="001837FA"/>
    <w:pPr>
      <w:keepNext/>
      <w:keepLines/>
      <w:spacing w:after="0" w:line="259" w:lineRule="auto"/>
      <w:outlineLvl w:val="7"/>
    </w:pPr>
    <w:rPr>
      <w:rFonts w:eastAsiaTheme="majorEastAsia" w:cstheme="majorBidi"/>
      <w:i/>
      <w:iCs/>
      <w:color w:val="272727" w:themeColor="text1" w:themeTint="D8"/>
      <w:sz w:val="22"/>
      <w:szCs w:val="22"/>
      <w:lang w:val="it-IT"/>
    </w:rPr>
  </w:style>
  <w:style w:type="paragraph" w:styleId="Titolo9">
    <w:name w:val="heading 9"/>
    <w:basedOn w:val="Normale"/>
    <w:next w:val="Normale"/>
    <w:link w:val="Titolo9Carattere"/>
    <w:uiPriority w:val="9"/>
    <w:semiHidden/>
    <w:unhideWhenUsed/>
    <w:qFormat/>
    <w:rsid w:val="001837FA"/>
    <w:pPr>
      <w:keepNext/>
      <w:keepLines/>
      <w:spacing w:after="0" w:line="259" w:lineRule="auto"/>
      <w:outlineLvl w:val="8"/>
    </w:pPr>
    <w:rPr>
      <w:rFonts w:eastAsiaTheme="majorEastAsia" w:cstheme="majorBidi"/>
      <w:color w:val="272727" w:themeColor="text1" w:themeTint="D8"/>
      <w:sz w:val="22"/>
      <w:szCs w:val="2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837F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837F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837F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837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837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837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837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837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837F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837FA"/>
    <w:pPr>
      <w:spacing w:after="80" w:line="240" w:lineRule="auto"/>
      <w:contextualSpacing/>
    </w:pPr>
    <w:rPr>
      <w:rFonts w:asciiTheme="majorHAnsi" w:eastAsiaTheme="majorEastAsia" w:hAnsiTheme="majorHAnsi" w:cstheme="majorBidi"/>
      <w:spacing w:val="-10"/>
      <w:kern w:val="28"/>
      <w:sz w:val="56"/>
      <w:szCs w:val="56"/>
      <w:lang w:val="it-IT"/>
    </w:rPr>
  </w:style>
  <w:style w:type="character" w:customStyle="1" w:styleId="TitoloCarattere">
    <w:name w:val="Titolo Carattere"/>
    <w:basedOn w:val="Carpredefinitoparagrafo"/>
    <w:link w:val="Titolo"/>
    <w:uiPriority w:val="10"/>
    <w:rsid w:val="001837F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837FA"/>
    <w:pPr>
      <w:numPr>
        <w:ilvl w:val="1"/>
      </w:numPr>
      <w:spacing w:line="259" w:lineRule="auto"/>
    </w:pPr>
    <w:rPr>
      <w:rFonts w:eastAsiaTheme="majorEastAsia" w:cstheme="majorBidi"/>
      <w:color w:val="595959" w:themeColor="text1" w:themeTint="A6"/>
      <w:spacing w:val="15"/>
      <w:sz w:val="28"/>
      <w:szCs w:val="28"/>
      <w:lang w:val="it-IT"/>
    </w:rPr>
  </w:style>
  <w:style w:type="character" w:customStyle="1" w:styleId="SottotitoloCarattere">
    <w:name w:val="Sottotitolo Carattere"/>
    <w:basedOn w:val="Carpredefinitoparagrafo"/>
    <w:link w:val="Sottotitolo"/>
    <w:uiPriority w:val="11"/>
    <w:rsid w:val="001837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837FA"/>
    <w:pPr>
      <w:spacing w:before="160" w:line="259" w:lineRule="auto"/>
      <w:jc w:val="center"/>
    </w:pPr>
    <w:rPr>
      <w:i/>
      <w:iCs/>
      <w:color w:val="404040" w:themeColor="text1" w:themeTint="BF"/>
      <w:sz w:val="22"/>
      <w:szCs w:val="22"/>
      <w:lang w:val="it-IT"/>
    </w:rPr>
  </w:style>
  <w:style w:type="character" w:customStyle="1" w:styleId="CitazioneCarattere">
    <w:name w:val="Citazione Carattere"/>
    <w:basedOn w:val="Carpredefinitoparagrafo"/>
    <w:link w:val="Citazione"/>
    <w:uiPriority w:val="29"/>
    <w:rsid w:val="001837FA"/>
    <w:rPr>
      <w:i/>
      <w:iCs/>
      <w:color w:val="404040" w:themeColor="text1" w:themeTint="BF"/>
    </w:rPr>
  </w:style>
  <w:style w:type="paragraph" w:styleId="Paragrafoelenco">
    <w:name w:val="List Paragraph"/>
    <w:basedOn w:val="Normale"/>
    <w:uiPriority w:val="34"/>
    <w:qFormat/>
    <w:rsid w:val="001837FA"/>
    <w:pPr>
      <w:spacing w:line="259" w:lineRule="auto"/>
      <w:ind w:left="720"/>
      <w:contextualSpacing/>
    </w:pPr>
    <w:rPr>
      <w:sz w:val="22"/>
      <w:szCs w:val="22"/>
      <w:lang w:val="it-IT"/>
    </w:rPr>
  </w:style>
  <w:style w:type="character" w:styleId="Enfasiintensa">
    <w:name w:val="Intense Emphasis"/>
    <w:basedOn w:val="Carpredefinitoparagrafo"/>
    <w:uiPriority w:val="21"/>
    <w:qFormat/>
    <w:rsid w:val="001837FA"/>
    <w:rPr>
      <w:i/>
      <w:iCs/>
      <w:color w:val="0F4761" w:themeColor="accent1" w:themeShade="BF"/>
    </w:rPr>
  </w:style>
  <w:style w:type="paragraph" w:styleId="Citazioneintensa">
    <w:name w:val="Intense Quote"/>
    <w:basedOn w:val="Normale"/>
    <w:next w:val="Normale"/>
    <w:link w:val="CitazioneintensaCarattere"/>
    <w:uiPriority w:val="30"/>
    <w:qFormat/>
    <w:rsid w:val="001837F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it-IT"/>
    </w:rPr>
  </w:style>
  <w:style w:type="character" w:customStyle="1" w:styleId="CitazioneintensaCarattere">
    <w:name w:val="Citazione intensa Carattere"/>
    <w:basedOn w:val="Carpredefinitoparagrafo"/>
    <w:link w:val="Citazioneintensa"/>
    <w:uiPriority w:val="30"/>
    <w:rsid w:val="001837FA"/>
    <w:rPr>
      <w:i/>
      <w:iCs/>
      <w:color w:val="0F4761" w:themeColor="accent1" w:themeShade="BF"/>
    </w:rPr>
  </w:style>
  <w:style w:type="character" w:styleId="Riferimentointenso">
    <w:name w:val="Intense Reference"/>
    <w:basedOn w:val="Carpredefinitoparagrafo"/>
    <w:uiPriority w:val="32"/>
    <w:qFormat/>
    <w:rsid w:val="001837FA"/>
    <w:rPr>
      <w:b/>
      <w:bCs/>
      <w:smallCaps/>
      <w:color w:val="0F4761" w:themeColor="accent1" w:themeShade="BF"/>
      <w:spacing w:val="5"/>
    </w:rPr>
  </w:style>
  <w:style w:type="character" w:styleId="Collegamentoipertestuale">
    <w:name w:val="Hyperlink"/>
    <w:basedOn w:val="Carpredefinitoparagrafo"/>
    <w:uiPriority w:val="99"/>
    <w:unhideWhenUsed/>
    <w:rsid w:val="001837FA"/>
    <w:rPr>
      <w:color w:val="467886" w:themeColor="hyperlink"/>
      <w:u w:val="single"/>
    </w:rPr>
  </w:style>
  <w:style w:type="table" w:styleId="Grigliatabella">
    <w:name w:val="Table Grid"/>
    <w:basedOn w:val="Tabellanormale"/>
    <w:uiPriority w:val="39"/>
    <w:rsid w:val="001837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entro">
    <w:name w:val="rientro"/>
    <w:basedOn w:val="Normale"/>
    <w:rsid w:val="001837FA"/>
    <w:pPr>
      <w:suppressAutoHyphens/>
      <w:spacing w:after="0" w:line="240" w:lineRule="auto"/>
      <w:ind w:left="560" w:right="-302" w:hanging="560"/>
      <w:jc w:val="both"/>
    </w:pPr>
    <w:rPr>
      <w:rFonts w:ascii="Helvetica" w:eastAsia="Times New Roman" w:hAnsi="Helvetica" w:cs="Helvetica"/>
      <w:kern w:val="0"/>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430/bgo00423"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1754</Words>
  <Characters>10003</Characters>
  <Application>Microsoft Office Word</Application>
  <DocSecurity>0</DocSecurity>
  <Lines>83</Lines>
  <Paragraphs>23</Paragraphs>
  <ScaleCrop>false</ScaleCrop>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Pettenati</dc:creator>
  <cp:keywords/>
  <dc:description/>
  <cp:lastModifiedBy>Franco Pettenati</cp:lastModifiedBy>
  <cp:revision>3</cp:revision>
  <dcterms:created xsi:type="dcterms:W3CDTF">2026-05-11T16:41:00Z</dcterms:created>
  <dcterms:modified xsi:type="dcterms:W3CDTF">2026-05-14T09:32:00Z</dcterms:modified>
</cp:coreProperties>
</file>