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9BD15" w14:textId="77777777" w:rsidR="001C6EF6" w:rsidRPr="0034638C" w:rsidRDefault="001C6EF6" w:rsidP="001C6EF6">
      <w:pPr>
        <w:rPr>
          <w:b/>
          <w:bCs/>
          <w:sz w:val="32"/>
          <w:szCs w:val="32"/>
          <w:shd w:val="clear" w:color="auto" w:fill="FFFFFF"/>
        </w:rPr>
      </w:pPr>
      <w:bookmarkStart w:id="0" w:name="_51hyvf7o5mc0" w:colFirst="0" w:colLast="0"/>
      <w:bookmarkEnd w:id="0"/>
      <w:r w:rsidRPr="0034638C">
        <w:rPr>
          <w:b/>
          <w:bCs/>
          <w:sz w:val="32"/>
          <w:szCs w:val="32"/>
          <w:shd w:val="clear" w:color="auto" w:fill="FFFFFF"/>
        </w:rPr>
        <w:t>Integrative genomic and transcriptomic analyses identify functionally relevant causal genes for exercise</w:t>
      </w:r>
      <w:r>
        <w:rPr>
          <w:b/>
          <w:bCs/>
          <w:sz w:val="32"/>
          <w:szCs w:val="32"/>
          <w:shd w:val="clear" w:color="auto" w:fill="FFFFFF"/>
        </w:rPr>
        <w:t xml:space="preserve"> in a large animal model.</w:t>
      </w:r>
    </w:p>
    <w:p w14:paraId="4427B787" w14:textId="77777777" w:rsidR="001C6EF6" w:rsidRPr="008F08FD" w:rsidRDefault="001C6EF6" w:rsidP="001C6EF6"/>
    <w:p w14:paraId="559D3630" w14:textId="77777777" w:rsidR="003C736A" w:rsidRPr="003576FD" w:rsidRDefault="003C736A" w:rsidP="003C736A">
      <w:pPr>
        <w:jc w:val="both"/>
        <w:rPr>
          <w:rFonts w:ascii="Times New Roman" w:hAnsi="Times New Roman"/>
          <w:sz w:val="24"/>
          <w:szCs w:val="24"/>
          <w:vertAlign w:val="superscript"/>
        </w:rPr>
      </w:pPr>
      <w:r w:rsidRPr="003576FD">
        <w:rPr>
          <w:rFonts w:ascii="Times New Roman" w:hAnsi="Times New Roman"/>
          <w:color w:val="0D0D0D"/>
          <w:sz w:val="24"/>
          <w:szCs w:val="24"/>
          <w:shd w:val="clear" w:color="auto" w:fill="FFFFFF"/>
        </w:rPr>
        <w:t>Mian Feng</w:t>
      </w:r>
      <w:r w:rsidRPr="003576FD">
        <w:rPr>
          <w:rFonts w:ascii="Times New Roman" w:hAnsi="Times New Roman"/>
          <w:sz w:val="24"/>
          <w:szCs w:val="24"/>
          <w:vertAlign w:val="superscript"/>
        </w:rPr>
        <w:t>1*</w:t>
      </w:r>
      <w:r w:rsidRPr="003576FD">
        <w:rPr>
          <w:rFonts w:ascii="Times New Roman" w:hAnsi="Times New Roman"/>
          <w:color w:val="0D0D0D"/>
          <w:sz w:val="24"/>
          <w:szCs w:val="24"/>
          <w:shd w:val="clear" w:color="auto" w:fill="FFFFFF"/>
        </w:rPr>
        <w:t>, Thomas J. Hall</w:t>
      </w:r>
      <w:r w:rsidRPr="003576FD">
        <w:rPr>
          <w:rFonts w:ascii="Times New Roman" w:hAnsi="Times New Roman"/>
          <w:sz w:val="24"/>
          <w:szCs w:val="24"/>
          <w:vertAlign w:val="superscript"/>
        </w:rPr>
        <w:t>1</w:t>
      </w:r>
      <w:r w:rsidRPr="003576FD">
        <w:rPr>
          <w:rFonts w:ascii="Times New Roman" w:hAnsi="Times New Roman"/>
          <w:color w:val="0D0D0D"/>
          <w:sz w:val="24"/>
          <w:szCs w:val="24"/>
          <w:shd w:val="clear" w:color="auto" w:fill="FFFFFF"/>
        </w:rPr>
        <w:t>, John F. O’Grady</w:t>
      </w:r>
      <w:r w:rsidRPr="003576FD">
        <w:rPr>
          <w:rFonts w:ascii="Times New Roman" w:hAnsi="Times New Roman"/>
          <w:color w:val="0D0D0D"/>
          <w:sz w:val="24"/>
          <w:szCs w:val="24"/>
          <w:shd w:val="clear" w:color="auto" w:fill="FFFFFF"/>
          <w:vertAlign w:val="superscript"/>
        </w:rPr>
        <w:t>1</w:t>
      </w:r>
      <w:r w:rsidRPr="003576FD">
        <w:rPr>
          <w:rFonts w:ascii="Times New Roman" w:hAnsi="Times New Roman"/>
          <w:color w:val="0D0D0D"/>
          <w:sz w:val="24"/>
          <w:szCs w:val="24"/>
          <w:shd w:val="clear" w:color="auto" w:fill="FFFFFF"/>
        </w:rPr>
        <w:t xml:space="preserve">, </w:t>
      </w:r>
      <w:proofErr w:type="spellStart"/>
      <w:r w:rsidRPr="003576FD">
        <w:rPr>
          <w:rFonts w:ascii="Times New Roman" w:hAnsi="Times New Roman"/>
          <w:color w:val="0D0D0D"/>
          <w:sz w:val="24"/>
          <w:szCs w:val="24"/>
          <w:shd w:val="clear" w:color="auto" w:fill="FFFFFF"/>
        </w:rPr>
        <w:t>Kseniia</w:t>
      </w:r>
      <w:proofErr w:type="spellEnd"/>
      <w:r w:rsidRPr="003576FD">
        <w:rPr>
          <w:rFonts w:ascii="Times New Roman" w:hAnsi="Times New Roman"/>
          <w:color w:val="0D0D0D"/>
          <w:sz w:val="24"/>
          <w:szCs w:val="24"/>
          <w:shd w:val="clear" w:color="auto" w:fill="FFFFFF"/>
        </w:rPr>
        <w:t xml:space="preserve"> Maksimova</w:t>
      </w:r>
      <w:r w:rsidRPr="003576FD">
        <w:rPr>
          <w:rFonts w:ascii="Times New Roman" w:hAnsi="Times New Roman"/>
          <w:color w:val="0D0D0D"/>
          <w:sz w:val="24"/>
          <w:szCs w:val="24"/>
          <w:shd w:val="clear" w:color="auto" w:fill="FFFFFF"/>
          <w:vertAlign w:val="superscript"/>
        </w:rPr>
        <w:t>2</w:t>
      </w:r>
      <w:r w:rsidRPr="003576FD">
        <w:rPr>
          <w:rFonts w:ascii="Times New Roman" w:hAnsi="Times New Roman" w:hint="eastAsia"/>
          <w:color w:val="0D0D0D"/>
          <w:sz w:val="24"/>
          <w:szCs w:val="24"/>
          <w:shd w:val="clear" w:color="auto" w:fill="FFFFFF"/>
        </w:rPr>
        <w:t xml:space="preserve">, </w:t>
      </w:r>
      <w:r w:rsidRPr="003576FD">
        <w:rPr>
          <w:rFonts w:ascii="Times New Roman" w:hAnsi="Times New Roman"/>
          <w:color w:val="0D0D0D"/>
          <w:sz w:val="24"/>
          <w:szCs w:val="24"/>
          <w:shd w:val="clear" w:color="auto" w:fill="FFFFFF"/>
        </w:rPr>
        <w:t>Michael Salter-Townshend</w:t>
      </w:r>
      <w:r w:rsidRPr="003576FD">
        <w:rPr>
          <w:rFonts w:ascii="Times New Roman" w:hAnsi="Times New Roman"/>
          <w:color w:val="0D0D0D"/>
          <w:sz w:val="24"/>
          <w:szCs w:val="24"/>
          <w:shd w:val="clear" w:color="auto" w:fill="FFFFFF"/>
          <w:vertAlign w:val="superscript"/>
        </w:rPr>
        <w:t>2</w:t>
      </w:r>
      <w:r w:rsidRPr="003576FD">
        <w:rPr>
          <w:rFonts w:ascii="Times New Roman" w:hAnsi="Times New Roman" w:hint="eastAsia"/>
          <w:color w:val="0D0D0D"/>
          <w:sz w:val="24"/>
          <w:szCs w:val="24"/>
          <w:shd w:val="clear" w:color="auto" w:fill="FFFFFF"/>
        </w:rPr>
        <w:t xml:space="preserve">, </w:t>
      </w:r>
      <w:r w:rsidRPr="003576FD">
        <w:rPr>
          <w:rFonts w:ascii="Times New Roman" w:hAnsi="Times New Roman"/>
          <w:color w:val="0D0D0D"/>
          <w:sz w:val="24"/>
          <w:szCs w:val="24"/>
          <w:shd w:val="clear" w:color="auto" w:fill="FFFFFF"/>
        </w:rPr>
        <w:t>John A. Browne</w:t>
      </w:r>
      <w:r w:rsidRPr="003576FD">
        <w:rPr>
          <w:rFonts w:ascii="Times New Roman" w:hAnsi="Times New Roman"/>
          <w:color w:val="0D0D0D"/>
          <w:sz w:val="24"/>
          <w:szCs w:val="24"/>
          <w:shd w:val="clear" w:color="auto" w:fill="FFFFFF"/>
          <w:vertAlign w:val="superscript"/>
        </w:rPr>
        <w:t>1</w:t>
      </w:r>
      <w:r w:rsidRPr="003576FD">
        <w:rPr>
          <w:rFonts w:ascii="Times New Roman" w:hAnsi="Times New Roman" w:hint="eastAsia"/>
          <w:color w:val="0D0D0D"/>
          <w:sz w:val="24"/>
          <w:szCs w:val="24"/>
          <w:shd w:val="clear" w:color="auto" w:fill="FFFFFF"/>
        </w:rPr>
        <w:t xml:space="preserve">, </w:t>
      </w:r>
      <w:r w:rsidRPr="003576FD">
        <w:rPr>
          <w:rFonts w:ascii="Times New Roman" w:hAnsi="Times New Roman"/>
          <w:color w:val="0D0D0D"/>
          <w:sz w:val="24"/>
          <w:szCs w:val="24"/>
          <w:shd w:val="clear" w:color="auto" w:fill="FFFFFF"/>
        </w:rPr>
        <w:t>David E. MacHugh</w:t>
      </w:r>
      <w:r w:rsidRPr="003576FD">
        <w:rPr>
          <w:rFonts w:ascii="Times New Roman" w:hAnsi="Times New Roman"/>
          <w:sz w:val="24"/>
          <w:szCs w:val="24"/>
          <w:vertAlign w:val="superscript"/>
        </w:rPr>
        <w:t>1,</w:t>
      </w:r>
      <w:r w:rsidRPr="003576FD">
        <w:rPr>
          <w:rFonts w:ascii="Times New Roman" w:hAnsi="Times New Roman" w:hint="eastAsia"/>
          <w:sz w:val="24"/>
          <w:szCs w:val="24"/>
          <w:vertAlign w:val="superscript"/>
        </w:rPr>
        <w:t>3</w:t>
      </w:r>
      <w:r w:rsidRPr="003576FD">
        <w:rPr>
          <w:rFonts w:ascii="Times New Roman" w:hAnsi="Times New Roman"/>
          <w:sz w:val="24"/>
          <w:szCs w:val="24"/>
          <w:vertAlign w:val="superscript"/>
        </w:rPr>
        <w:t>,</w:t>
      </w:r>
      <w:r w:rsidRPr="003576FD">
        <w:rPr>
          <w:rFonts w:ascii="Times New Roman" w:hAnsi="Times New Roman" w:hint="eastAsia"/>
          <w:sz w:val="24"/>
          <w:szCs w:val="24"/>
          <w:vertAlign w:val="superscript"/>
        </w:rPr>
        <w:t>4</w:t>
      </w:r>
      <w:r w:rsidRPr="003576FD">
        <w:rPr>
          <w:rFonts w:ascii="Times New Roman" w:hAnsi="Times New Roman"/>
          <w:color w:val="0D0D0D"/>
          <w:sz w:val="24"/>
          <w:szCs w:val="24"/>
          <w:shd w:val="clear" w:color="auto" w:fill="FFFFFF"/>
        </w:rPr>
        <w:t>, Lisa M. Katz</w:t>
      </w:r>
      <w:r w:rsidRPr="003576FD">
        <w:rPr>
          <w:rFonts w:ascii="Times New Roman" w:hAnsi="Times New Roman" w:hint="eastAsia"/>
          <w:sz w:val="24"/>
          <w:szCs w:val="24"/>
          <w:vertAlign w:val="superscript"/>
        </w:rPr>
        <w:t>5</w:t>
      </w:r>
      <w:r w:rsidRPr="003576FD">
        <w:rPr>
          <w:rFonts w:ascii="Times New Roman" w:hAnsi="Times New Roman"/>
          <w:color w:val="0D0D0D"/>
          <w:sz w:val="24"/>
          <w:szCs w:val="24"/>
          <w:shd w:val="clear" w:color="auto" w:fill="FFFFFF"/>
        </w:rPr>
        <w:t>, Beatrice A. McGivney</w:t>
      </w:r>
      <w:r w:rsidRPr="003576FD">
        <w:rPr>
          <w:rFonts w:ascii="Times New Roman" w:hAnsi="Times New Roman" w:hint="eastAsia"/>
          <w:sz w:val="24"/>
          <w:szCs w:val="24"/>
          <w:vertAlign w:val="superscript"/>
        </w:rPr>
        <w:t>6</w:t>
      </w:r>
      <w:r w:rsidRPr="003576FD">
        <w:rPr>
          <w:rFonts w:ascii="Times New Roman" w:hAnsi="Times New Roman"/>
          <w:color w:val="0D0D0D"/>
          <w:sz w:val="24"/>
          <w:szCs w:val="24"/>
          <w:shd w:val="clear" w:color="auto" w:fill="FFFFFF"/>
        </w:rPr>
        <w:t>, Emmeline W. Hill</w:t>
      </w:r>
      <w:r w:rsidRPr="003576FD">
        <w:rPr>
          <w:rFonts w:ascii="Times New Roman" w:hAnsi="Times New Roman"/>
          <w:sz w:val="24"/>
          <w:szCs w:val="24"/>
          <w:vertAlign w:val="superscript"/>
        </w:rPr>
        <w:t xml:space="preserve">1, </w:t>
      </w:r>
      <w:r w:rsidRPr="003576FD">
        <w:rPr>
          <w:rFonts w:ascii="Times New Roman" w:hAnsi="Times New Roman" w:hint="eastAsia"/>
          <w:sz w:val="24"/>
          <w:szCs w:val="24"/>
          <w:vertAlign w:val="superscript"/>
        </w:rPr>
        <w:t>6</w:t>
      </w:r>
    </w:p>
    <w:p w14:paraId="0B34AD54" w14:textId="77777777" w:rsidR="003C736A" w:rsidRPr="003576FD" w:rsidRDefault="003C736A" w:rsidP="003C736A">
      <w:pPr>
        <w:rPr>
          <w:color w:val="0D0D0D"/>
          <w:sz w:val="24"/>
          <w:szCs w:val="24"/>
          <w:shd w:val="clear" w:color="auto" w:fill="FFFFFF"/>
        </w:rPr>
      </w:pPr>
    </w:p>
    <w:p w14:paraId="7EEA137A" w14:textId="77777777" w:rsidR="003C736A" w:rsidRPr="003576FD" w:rsidRDefault="003C736A" w:rsidP="003C736A">
      <w:pPr>
        <w:spacing w:after="120"/>
        <w:jc w:val="both"/>
        <w:rPr>
          <w:rFonts w:ascii="Times New Roman" w:hAnsi="Times New Roman"/>
          <w:sz w:val="24"/>
          <w:szCs w:val="24"/>
        </w:rPr>
      </w:pPr>
      <w:r w:rsidRPr="003576FD">
        <w:rPr>
          <w:rFonts w:ascii="Times New Roman" w:hAnsi="Times New Roman"/>
          <w:sz w:val="24"/>
          <w:szCs w:val="24"/>
          <w:vertAlign w:val="superscript"/>
        </w:rPr>
        <w:t>1</w:t>
      </w:r>
      <w:r w:rsidRPr="003576FD">
        <w:rPr>
          <w:rFonts w:ascii="Times New Roman" w:hAnsi="Times New Roman"/>
          <w:sz w:val="24"/>
          <w:szCs w:val="24"/>
        </w:rPr>
        <w:t>UCD School of Agriculture and Food Science, University College Dublin, Belfield, Dublin, D04 V1W8, Ireland.</w:t>
      </w:r>
    </w:p>
    <w:p w14:paraId="74FA36B6" w14:textId="664A202F" w:rsidR="003C736A" w:rsidRPr="003576FD" w:rsidRDefault="003C736A" w:rsidP="003C736A">
      <w:pPr>
        <w:spacing w:after="120"/>
        <w:jc w:val="both"/>
        <w:rPr>
          <w:rFonts w:ascii="Times New Roman" w:hAnsi="Times New Roman"/>
          <w:sz w:val="24"/>
          <w:szCs w:val="24"/>
        </w:rPr>
      </w:pPr>
      <w:r w:rsidRPr="003576FD">
        <w:rPr>
          <w:rFonts w:ascii="Times New Roman" w:hAnsi="Times New Roman"/>
          <w:sz w:val="24"/>
          <w:szCs w:val="24"/>
          <w:vertAlign w:val="superscript"/>
        </w:rPr>
        <w:t>2</w:t>
      </w:r>
      <w:r w:rsidRPr="003576FD">
        <w:rPr>
          <w:rFonts w:ascii="Times New Roman" w:hAnsi="Times New Roman"/>
          <w:sz w:val="24"/>
          <w:szCs w:val="24"/>
        </w:rPr>
        <w:t>UCD School of Mathematics and Statistics, University College Dublin, Dublin, D04 V1W8, Ireland</w:t>
      </w:r>
      <w:r w:rsidR="00E5420D">
        <w:rPr>
          <w:rFonts w:ascii="Times New Roman" w:hAnsi="Times New Roman" w:hint="eastAsia"/>
          <w:sz w:val="24"/>
          <w:szCs w:val="24"/>
        </w:rPr>
        <w:t>.</w:t>
      </w:r>
    </w:p>
    <w:p w14:paraId="3E11ED03" w14:textId="77777777" w:rsidR="003C736A" w:rsidRPr="003576FD" w:rsidRDefault="003C736A" w:rsidP="003C736A">
      <w:pPr>
        <w:spacing w:after="120"/>
        <w:jc w:val="both"/>
        <w:rPr>
          <w:rFonts w:ascii="Times New Roman" w:hAnsi="Times New Roman"/>
          <w:sz w:val="24"/>
          <w:szCs w:val="24"/>
        </w:rPr>
      </w:pPr>
      <w:r w:rsidRPr="003576FD">
        <w:rPr>
          <w:rFonts w:ascii="Times New Roman" w:hAnsi="Times New Roman" w:hint="eastAsia"/>
          <w:sz w:val="24"/>
          <w:szCs w:val="24"/>
          <w:vertAlign w:val="superscript"/>
        </w:rPr>
        <w:t>3</w:t>
      </w:r>
      <w:r w:rsidRPr="003576FD">
        <w:rPr>
          <w:rFonts w:ascii="Times New Roman" w:hAnsi="Times New Roman"/>
          <w:sz w:val="24"/>
          <w:szCs w:val="24"/>
        </w:rPr>
        <w:t>UCD Conway Institute of Biomolecular and Biomedical Research, University College Dublin, Belfield, Dublin, D04 V1W8, Ireland.</w:t>
      </w:r>
    </w:p>
    <w:p w14:paraId="50BE6089" w14:textId="77777777" w:rsidR="003C736A" w:rsidRPr="003576FD" w:rsidRDefault="003C736A" w:rsidP="003C736A">
      <w:pPr>
        <w:spacing w:after="120"/>
        <w:jc w:val="both"/>
        <w:rPr>
          <w:rFonts w:ascii="Times New Roman" w:hAnsi="Times New Roman"/>
          <w:sz w:val="24"/>
          <w:szCs w:val="24"/>
        </w:rPr>
      </w:pPr>
      <w:r w:rsidRPr="003576FD">
        <w:rPr>
          <w:rFonts w:ascii="Times New Roman" w:hAnsi="Times New Roman" w:hint="eastAsia"/>
          <w:sz w:val="24"/>
          <w:szCs w:val="24"/>
          <w:vertAlign w:val="superscript"/>
        </w:rPr>
        <w:t>4</w:t>
      </w:r>
      <w:r w:rsidRPr="003576FD">
        <w:rPr>
          <w:rFonts w:ascii="Times New Roman" w:hAnsi="Times New Roman"/>
          <w:sz w:val="24"/>
          <w:szCs w:val="24"/>
          <w:vertAlign w:val="superscript"/>
        </w:rPr>
        <w:t xml:space="preserve"> </w:t>
      </w:r>
      <w:r w:rsidRPr="003576FD">
        <w:rPr>
          <w:rFonts w:ascii="Times New Roman" w:hAnsi="Times New Roman"/>
          <w:sz w:val="24"/>
          <w:szCs w:val="24"/>
        </w:rPr>
        <w:t>UCD One Health Centre, University College Dublin, Belfield, Dublin, D04 V1W8, Ireland.</w:t>
      </w:r>
    </w:p>
    <w:p w14:paraId="328A3672" w14:textId="77777777" w:rsidR="003C736A" w:rsidRPr="003576FD" w:rsidRDefault="003C736A" w:rsidP="003C736A">
      <w:pPr>
        <w:spacing w:after="120"/>
        <w:jc w:val="both"/>
        <w:rPr>
          <w:rFonts w:ascii="Times New Roman" w:hAnsi="Times New Roman"/>
          <w:sz w:val="24"/>
          <w:szCs w:val="24"/>
        </w:rPr>
      </w:pPr>
      <w:r w:rsidRPr="003576FD">
        <w:rPr>
          <w:rFonts w:ascii="Times New Roman" w:hAnsi="Times New Roman" w:hint="eastAsia"/>
          <w:sz w:val="24"/>
          <w:szCs w:val="24"/>
          <w:vertAlign w:val="superscript"/>
        </w:rPr>
        <w:t>5</w:t>
      </w:r>
      <w:r w:rsidRPr="003576FD">
        <w:rPr>
          <w:rFonts w:ascii="Times New Roman" w:hAnsi="Times New Roman"/>
          <w:sz w:val="24"/>
          <w:szCs w:val="24"/>
        </w:rPr>
        <w:t>UCD School of Veterinary Medicine, University College Dublin, Belfield, Dublin, D04 V1W8, Ireland.</w:t>
      </w:r>
    </w:p>
    <w:p w14:paraId="7B57829C" w14:textId="77777777" w:rsidR="003C736A" w:rsidRPr="003576FD" w:rsidRDefault="003C736A" w:rsidP="003C736A">
      <w:pPr>
        <w:spacing w:after="120"/>
        <w:jc w:val="both"/>
        <w:rPr>
          <w:rFonts w:ascii="Times New Roman" w:hAnsi="Times New Roman"/>
          <w:sz w:val="24"/>
          <w:szCs w:val="24"/>
        </w:rPr>
      </w:pPr>
      <w:r w:rsidRPr="003576FD">
        <w:rPr>
          <w:rFonts w:ascii="Times New Roman" w:hAnsi="Times New Roman" w:hint="eastAsia"/>
          <w:sz w:val="24"/>
          <w:szCs w:val="24"/>
          <w:vertAlign w:val="superscript"/>
        </w:rPr>
        <w:t>6</w:t>
      </w:r>
      <w:r w:rsidRPr="003576FD">
        <w:rPr>
          <w:rFonts w:ascii="Times New Roman" w:hAnsi="Times New Roman"/>
          <w:sz w:val="24"/>
          <w:szCs w:val="24"/>
        </w:rPr>
        <w:t>Zinto Labs Ltd., The Highline, Pottery Rd, Dun Laoghaire, Co. Dublin, Ireland.</w:t>
      </w:r>
    </w:p>
    <w:p w14:paraId="35F9C1BA" w14:textId="5FB8B7D7" w:rsidR="001C6EF6" w:rsidRPr="007D641A" w:rsidRDefault="001C6EF6">
      <w:pPr>
        <w:pStyle w:val="Heading3"/>
        <w:keepNext w:val="0"/>
        <w:keepLines w:val="0"/>
        <w:spacing w:before="280"/>
        <w:rPr>
          <w:b/>
          <w:bCs/>
          <w:color w:val="000000"/>
        </w:rPr>
      </w:pPr>
      <w:r w:rsidRPr="007D641A">
        <w:rPr>
          <w:b/>
          <w:bCs/>
          <w:color w:val="000000"/>
        </w:rPr>
        <w:t>Supplementary Note</w:t>
      </w:r>
      <w:r w:rsidR="009A11EA">
        <w:rPr>
          <w:b/>
          <w:bCs/>
          <w:color w:val="000000"/>
        </w:rPr>
        <w:t xml:space="preserve"> </w:t>
      </w:r>
      <w:r w:rsidRPr="007D641A">
        <w:rPr>
          <w:b/>
          <w:bCs/>
          <w:color w:val="000000"/>
        </w:rPr>
        <w:t>1</w:t>
      </w:r>
    </w:p>
    <w:p w14:paraId="00000004" w14:textId="77777777" w:rsidR="00471D84" w:rsidRDefault="00B3423E">
      <w:pPr>
        <w:pStyle w:val="Heading3"/>
        <w:keepNext w:val="0"/>
        <w:keepLines w:val="0"/>
        <w:spacing w:before="280"/>
        <w:rPr>
          <w:b/>
          <w:bCs/>
          <w:color w:val="000000"/>
          <w:sz w:val="26"/>
          <w:szCs w:val="26"/>
        </w:rPr>
      </w:pPr>
      <w:bookmarkStart w:id="1" w:name="_z8eqpbd4awla" w:colFirst="0" w:colLast="0"/>
      <w:bookmarkEnd w:id="1"/>
      <w:r>
        <w:rPr>
          <w:b/>
          <w:bCs/>
          <w:color w:val="000000"/>
          <w:sz w:val="26"/>
          <w:szCs w:val="26"/>
        </w:rPr>
        <w:t>Whole-Genome Sequencing</w:t>
      </w:r>
    </w:p>
    <w:p w14:paraId="429D7087" w14:textId="1F6A6974" w:rsidR="000264EC" w:rsidRPr="005C4A9B" w:rsidRDefault="00B3423E" w:rsidP="00772922">
      <w:pPr>
        <w:spacing w:line="240" w:lineRule="auto"/>
        <w:jc w:val="both"/>
        <w:rPr>
          <w:rFonts w:ascii="Aptos" w:hAnsi="Aptos"/>
          <w:sz w:val="24"/>
          <w:szCs w:val="24"/>
        </w:rPr>
      </w:pPr>
      <w:r w:rsidRPr="005C4A9B">
        <w:rPr>
          <w:rFonts w:ascii="Aptos" w:hAnsi="Aptos"/>
          <w:sz w:val="24"/>
          <w:szCs w:val="24"/>
        </w:rPr>
        <w:t xml:space="preserve">Whole-genome </w:t>
      </w:r>
      <w:r w:rsidR="005D7838" w:rsidRPr="005C4A9B">
        <w:rPr>
          <w:rFonts w:ascii="Aptos" w:hAnsi="Aptos"/>
          <w:sz w:val="24"/>
          <w:szCs w:val="24"/>
        </w:rPr>
        <w:t xml:space="preserve">sequences from </w:t>
      </w:r>
      <w:r w:rsidRPr="005C4A9B">
        <w:rPr>
          <w:rFonts w:ascii="Aptos" w:hAnsi="Aptos"/>
          <w:i/>
          <w:iCs/>
          <w:sz w:val="24"/>
          <w:szCs w:val="24"/>
        </w:rPr>
        <w:t>n</w:t>
      </w:r>
      <w:r w:rsidRPr="005C4A9B">
        <w:rPr>
          <w:rFonts w:ascii="Aptos" w:hAnsi="Aptos"/>
          <w:sz w:val="24"/>
          <w:szCs w:val="24"/>
        </w:rPr>
        <w:t xml:space="preserve"> = 1</w:t>
      </w:r>
      <w:r w:rsidR="005D7838" w:rsidRPr="005C4A9B">
        <w:rPr>
          <w:rFonts w:ascii="Aptos" w:hAnsi="Aptos"/>
          <w:sz w:val="24"/>
          <w:szCs w:val="24"/>
        </w:rPr>
        <w:t>25 Thoroughbred horses</w:t>
      </w:r>
      <w:r w:rsidRPr="005C4A9B">
        <w:rPr>
          <w:rFonts w:ascii="Aptos" w:hAnsi="Aptos"/>
          <w:sz w:val="24"/>
          <w:szCs w:val="24"/>
        </w:rPr>
        <w:t xml:space="preserve"> </w:t>
      </w:r>
      <w:r w:rsidR="005D7838" w:rsidRPr="005C4A9B">
        <w:rPr>
          <w:rFonts w:ascii="Aptos" w:hAnsi="Aptos"/>
          <w:sz w:val="24"/>
          <w:szCs w:val="24"/>
        </w:rPr>
        <w:t>were available for imputing SNP genotypes to whole genome sequence level</w:t>
      </w:r>
      <w:r w:rsidRPr="005C4A9B">
        <w:rPr>
          <w:rFonts w:ascii="Aptos" w:hAnsi="Aptos"/>
          <w:sz w:val="24"/>
          <w:szCs w:val="24"/>
        </w:rPr>
        <w:t xml:space="preserve">. </w:t>
      </w:r>
      <w:r w:rsidR="009A11EA" w:rsidRPr="005C4A9B">
        <w:rPr>
          <w:rFonts w:ascii="Aptos" w:hAnsi="Aptos"/>
          <w:sz w:val="24"/>
          <w:szCs w:val="24"/>
        </w:rPr>
        <w:t>N=28 s</w:t>
      </w:r>
      <w:r w:rsidR="005D7838" w:rsidRPr="005C4A9B">
        <w:rPr>
          <w:rFonts w:ascii="Aptos" w:hAnsi="Aptos"/>
          <w:sz w:val="24"/>
          <w:szCs w:val="24"/>
        </w:rPr>
        <w:t xml:space="preserve">amples </w:t>
      </w:r>
      <w:r w:rsidRPr="005C4A9B">
        <w:rPr>
          <w:rFonts w:ascii="Aptos" w:hAnsi="Aptos"/>
          <w:sz w:val="24"/>
          <w:szCs w:val="24"/>
        </w:rPr>
        <w:t xml:space="preserve">were </w:t>
      </w:r>
      <w:proofErr w:type="spellStart"/>
      <w:r w:rsidRPr="005C4A9B">
        <w:rPr>
          <w:rFonts w:ascii="Aptos" w:hAnsi="Aptos"/>
          <w:sz w:val="24"/>
          <w:szCs w:val="24"/>
        </w:rPr>
        <w:t>resequenced</w:t>
      </w:r>
      <w:proofErr w:type="spellEnd"/>
      <w:r w:rsidRPr="005C4A9B">
        <w:rPr>
          <w:rFonts w:ascii="Aptos" w:hAnsi="Aptos"/>
          <w:sz w:val="24"/>
          <w:szCs w:val="24"/>
        </w:rPr>
        <w:t xml:space="preserve"> at 12× coverage</w:t>
      </w:r>
      <w:r w:rsidR="009A11EA" w:rsidRPr="005C4A9B">
        <w:rPr>
          <w:rFonts w:ascii="Aptos" w:hAnsi="Aptos"/>
          <w:sz w:val="24"/>
          <w:szCs w:val="24"/>
        </w:rPr>
        <w:t xml:space="preserve"> and n=97 samples were </w:t>
      </w:r>
      <w:proofErr w:type="spellStart"/>
      <w:r w:rsidR="009A11EA" w:rsidRPr="005C4A9B">
        <w:rPr>
          <w:rFonts w:ascii="Aptos" w:hAnsi="Aptos"/>
          <w:sz w:val="24"/>
          <w:szCs w:val="24"/>
        </w:rPr>
        <w:t>resequenced</w:t>
      </w:r>
      <w:proofErr w:type="spellEnd"/>
      <w:r w:rsidR="009A11EA" w:rsidRPr="005C4A9B">
        <w:rPr>
          <w:rFonts w:ascii="Aptos" w:hAnsi="Aptos"/>
          <w:sz w:val="24"/>
          <w:szCs w:val="24"/>
        </w:rPr>
        <w:t xml:space="preserve"> at 15× coverage</w:t>
      </w:r>
      <w:r w:rsidRPr="005C4A9B">
        <w:rPr>
          <w:rFonts w:ascii="Aptos" w:hAnsi="Aptos"/>
          <w:sz w:val="24"/>
          <w:szCs w:val="24"/>
        </w:rPr>
        <w:t xml:space="preserve"> using Illumina technology (Illumina </w:t>
      </w:r>
      <w:proofErr w:type="spellStart"/>
      <w:r w:rsidRPr="005C4A9B">
        <w:rPr>
          <w:rFonts w:ascii="Aptos" w:hAnsi="Aptos"/>
          <w:sz w:val="24"/>
          <w:szCs w:val="24"/>
        </w:rPr>
        <w:t>NovaSeq</w:t>
      </w:r>
      <w:proofErr w:type="spellEnd"/>
      <w:r w:rsidRPr="005C4A9B">
        <w:rPr>
          <w:rFonts w:ascii="Aptos" w:hAnsi="Aptos"/>
          <w:sz w:val="24"/>
          <w:szCs w:val="24"/>
        </w:rPr>
        <w:t xml:space="preserve"> platform, PE150</w:t>
      </w:r>
      <w:r w:rsidR="009A11EA" w:rsidRPr="005C4A9B">
        <w:rPr>
          <w:rFonts w:ascii="Aptos" w:hAnsi="Aptos"/>
          <w:sz w:val="24"/>
          <w:szCs w:val="24"/>
        </w:rPr>
        <w:t xml:space="preserve">, and Illumina </w:t>
      </w:r>
      <w:proofErr w:type="spellStart"/>
      <w:r w:rsidR="009A11EA" w:rsidRPr="005C4A9B">
        <w:rPr>
          <w:rFonts w:ascii="Aptos" w:hAnsi="Aptos"/>
          <w:sz w:val="24"/>
          <w:szCs w:val="24"/>
        </w:rPr>
        <w:t>NovaSeq</w:t>
      </w:r>
      <w:proofErr w:type="spellEnd"/>
      <w:r w:rsidR="009A11EA" w:rsidRPr="005C4A9B">
        <w:rPr>
          <w:rFonts w:ascii="Aptos" w:hAnsi="Aptos"/>
          <w:sz w:val="24"/>
          <w:szCs w:val="24"/>
        </w:rPr>
        <w:t xml:space="preserve"> X Plus platform, PE150)</w:t>
      </w:r>
      <w:r w:rsidRPr="005C4A9B">
        <w:rPr>
          <w:rFonts w:ascii="Aptos" w:hAnsi="Aptos"/>
          <w:sz w:val="24"/>
          <w:szCs w:val="24"/>
        </w:rPr>
        <w:t xml:space="preserve">. The raw sequencing reads were trimmed using </w:t>
      </w:r>
      <w:proofErr w:type="spellStart"/>
      <w:r w:rsidRPr="005C4A9B">
        <w:rPr>
          <w:rFonts w:ascii="Aptos" w:hAnsi="Aptos"/>
          <w:i/>
          <w:iCs/>
          <w:sz w:val="24"/>
          <w:szCs w:val="24"/>
        </w:rPr>
        <w:t>fastp</w:t>
      </w:r>
      <w:proofErr w:type="spellEnd"/>
      <w:r w:rsidRPr="005C4A9B">
        <w:rPr>
          <w:rFonts w:ascii="Aptos" w:hAnsi="Aptos"/>
          <w:sz w:val="24"/>
          <w:szCs w:val="24"/>
        </w:rPr>
        <w:t xml:space="preserve"> v0.23.4</w:t>
      </w:r>
      <w:r w:rsidR="004118EF" w:rsidRPr="005C4A9B">
        <w:rPr>
          <w:rFonts w:ascii="Aptos" w:hAnsi="Aptos"/>
          <w:sz w:val="24"/>
          <w:szCs w:val="24"/>
        </w:rPr>
        <w:t xml:space="preserve"> </w:t>
      </w:r>
      <w:r w:rsidR="004118EF" w:rsidRPr="005C4A9B">
        <w:rPr>
          <w:rFonts w:ascii="Aptos" w:hAnsi="Aptos"/>
          <w:sz w:val="24"/>
          <w:szCs w:val="24"/>
        </w:rPr>
        <w:fldChar w:fldCharType="begin"/>
      </w:r>
      <w:r w:rsidR="005D7838" w:rsidRPr="005C4A9B">
        <w:rPr>
          <w:rFonts w:ascii="Aptos" w:hAnsi="Aptos"/>
          <w:sz w:val="24"/>
          <w:szCs w:val="24"/>
        </w:rPr>
        <w:instrText xml:space="preserve"> ADDIN EN.CITE &lt;EndNote&gt;&lt;Cite&gt;&lt;Author&gt;Chen&lt;/Author&gt;&lt;Year&gt;2023&lt;/Year&gt;&lt;RecNum&gt;601&lt;/RecNum&gt;&lt;DisplayText&gt;[1]&lt;/DisplayText&gt;&lt;record&gt;&lt;rec-number&gt;601&lt;/rec-number&gt;&lt;foreign-keys&gt;&lt;key app="EN" db-id="9tterexxitpdaueft5q5f9xq9xtxtf0a20pw" timestamp="1768235842"&gt;601&lt;/key&gt;&lt;/foreign-keys&gt;&lt;ref-type name="Journal Article"&gt;17&lt;/ref-type&gt;&lt;contributors&gt;&lt;authors&gt;&lt;author&gt;Chen, S.&lt;/author&gt;&lt;/authors&gt;&lt;/contributors&gt;&lt;auth-address&gt;HaploX Biotechnology Shenzhen China.&amp;#xD;Shenzhen Institutes of Advanced Technology Chinese Academy of Sciences Shenzhen China.&lt;/auth-address&gt;&lt;titles&gt;&lt;title&gt;Ultrafast one-pass FASTQ data preprocessing, quality control, and deduplication using fastp&lt;/title&gt;&lt;secondary-title&gt;Imeta&lt;/secondary-title&gt;&lt;/titles&gt;&lt;periodical&gt;&lt;full-title&gt;Imeta&lt;/full-title&gt;&lt;/periodical&gt;&lt;pages&gt;e107&lt;/pages&gt;&lt;volume&gt;2&lt;/volume&gt;&lt;number&gt;2&lt;/number&gt;&lt;edition&gt;20230508&lt;/edition&gt;&lt;keywords&gt;&lt;keyword&gt;Fastq&lt;/keyword&gt;&lt;keyword&gt;adapter&lt;/keyword&gt;&lt;keyword&gt;duplication&lt;/keyword&gt;&lt;keyword&gt;filtering&lt;/keyword&gt;&lt;keyword&gt;preprocessing&lt;/keyword&gt;&lt;keyword&gt;quality control&lt;/keyword&gt;&lt;/keywords&gt;&lt;dates&gt;&lt;year&gt;2023&lt;/year&gt;&lt;pub-dates&gt;&lt;date&gt;May&lt;/date&gt;&lt;/pub-dates&gt;&lt;/dates&gt;&lt;isbn&gt;2770-596X (Electronic)&amp;#xD;2770-5986 (Print)&amp;#xD;2770-5986 (Linking)&lt;/isbn&gt;&lt;accession-num&gt;38868435&lt;/accession-num&gt;&lt;urls&gt;&lt;related-urls&gt;&lt;url&gt;https://www.ncbi.nlm.nih.gov/pubmed/38868435&lt;/url&gt;&lt;/related-urls&gt;&lt;/urls&gt;&lt;custom1&gt;The author declares no conflict of interest.&lt;/custom1&gt;&lt;custom2&gt;PMC10989850&lt;/custom2&gt;&lt;electronic-resource-num&gt;10.1002/imt2.107&lt;/electronic-resource-num&gt;&lt;remote-database-name&gt;PubMed-not-MEDLINE&lt;/remote-database-name&gt;&lt;remote-database-provider&gt;NLM&lt;/remote-database-provider&gt;&lt;language&gt;fastP&lt;/language&gt;&lt;/record&gt;&lt;/Cite&gt;&lt;/EndNote&gt;</w:instrText>
      </w:r>
      <w:r w:rsidR="004118EF" w:rsidRPr="005C4A9B">
        <w:rPr>
          <w:rFonts w:ascii="Aptos" w:hAnsi="Aptos"/>
          <w:sz w:val="24"/>
          <w:szCs w:val="24"/>
        </w:rPr>
        <w:fldChar w:fldCharType="separate"/>
      </w:r>
      <w:r w:rsidR="005D7838" w:rsidRPr="005C4A9B">
        <w:rPr>
          <w:rFonts w:ascii="Aptos" w:hAnsi="Aptos"/>
          <w:noProof/>
          <w:sz w:val="24"/>
          <w:szCs w:val="24"/>
        </w:rPr>
        <w:t>[1]</w:t>
      </w:r>
      <w:r w:rsidR="004118EF" w:rsidRPr="005C4A9B">
        <w:rPr>
          <w:rFonts w:ascii="Aptos" w:hAnsi="Aptos"/>
          <w:sz w:val="24"/>
          <w:szCs w:val="24"/>
        </w:rPr>
        <w:fldChar w:fldCharType="end"/>
      </w:r>
      <w:r w:rsidRPr="005C4A9B">
        <w:rPr>
          <w:rFonts w:ascii="Aptos" w:hAnsi="Aptos"/>
          <w:sz w:val="24"/>
          <w:szCs w:val="24"/>
        </w:rPr>
        <w:t xml:space="preserve">. Trimming included adapter detection and removal, as well as removal of </w:t>
      </w:r>
      <w:proofErr w:type="spellStart"/>
      <w:r w:rsidRPr="005C4A9B">
        <w:rPr>
          <w:rFonts w:ascii="Aptos" w:hAnsi="Aptos"/>
          <w:sz w:val="24"/>
          <w:szCs w:val="24"/>
        </w:rPr>
        <w:t>polyG</w:t>
      </w:r>
      <w:proofErr w:type="spellEnd"/>
      <w:r w:rsidRPr="005C4A9B">
        <w:rPr>
          <w:rFonts w:ascii="Aptos" w:hAnsi="Aptos"/>
          <w:sz w:val="24"/>
          <w:szCs w:val="24"/>
        </w:rPr>
        <w:t xml:space="preserve"> and </w:t>
      </w:r>
      <w:proofErr w:type="spellStart"/>
      <w:r w:rsidRPr="005C4A9B">
        <w:rPr>
          <w:rFonts w:ascii="Aptos" w:hAnsi="Aptos"/>
          <w:sz w:val="24"/>
          <w:szCs w:val="24"/>
        </w:rPr>
        <w:t>polyX</w:t>
      </w:r>
      <w:proofErr w:type="spellEnd"/>
      <w:r w:rsidRPr="005C4A9B">
        <w:rPr>
          <w:rFonts w:ascii="Aptos" w:hAnsi="Aptos"/>
          <w:sz w:val="24"/>
          <w:szCs w:val="24"/>
        </w:rPr>
        <w:t xml:space="preserve"> tails using default </w:t>
      </w:r>
      <w:proofErr w:type="spellStart"/>
      <w:r w:rsidRPr="005C4A9B">
        <w:rPr>
          <w:rFonts w:ascii="Aptos" w:hAnsi="Aptos"/>
          <w:i/>
          <w:iCs/>
          <w:sz w:val="24"/>
          <w:szCs w:val="24"/>
        </w:rPr>
        <w:t>fastp</w:t>
      </w:r>
      <w:proofErr w:type="spellEnd"/>
      <w:r w:rsidRPr="005C4A9B">
        <w:rPr>
          <w:rFonts w:ascii="Aptos" w:eastAsia="Arial Unicode MS" w:hAnsi="Aptos" w:cs="Arial Unicode MS"/>
          <w:sz w:val="24"/>
          <w:szCs w:val="24"/>
        </w:rPr>
        <w:t xml:space="preserve"> parameters. Quality filtering was applied with a Phred quality score ≥ Q15, allowing up to 40% of bases to be below this threshold, and length filtering was applied to discard reads shorter than 15 bp.</w:t>
      </w:r>
      <w:r w:rsidR="005D7838" w:rsidRPr="005C4A9B">
        <w:rPr>
          <w:rFonts w:ascii="Aptos" w:hAnsi="Aptos"/>
          <w:sz w:val="24"/>
          <w:szCs w:val="24"/>
        </w:rPr>
        <w:t xml:space="preserve"> </w:t>
      </w:r>
      <w:r w:rsidRPr="005C4A9B">
        <w:rPr>
          <w:rFonts w:ascii="Aptos" w:hAnsi="Aptos"/>
          <w:sz w:val="24"/>
          <w:szCs w:val="24"/>
        </w:rPr>
        <w:t xml:space="preserve">Trimmed reads were processed using a containerized WAGS pipeline comprising two steps for germline short and structural variant analysis, specifically </w:t>
      </w:r>
      <w:proofErr w:type="spellStart"/>
      <w:r w:rsidRPr="005C4A9B">
        <w:rPr>
          <w:rFonts w:ascii="Aptos" w:hAnsi="Aptos"/>
          <w:sz w:val="24"/>
          <w:szCs w:val="24"/>
        </w:rPr>
        <w:t>OneWAG</w:t>
      </w:r>
      <w:proofErr w:type="spellEnd"/>
      <w:r w:rsidRPr="005C4A9B">
        <w:rPr>
          <w:rFonts w:ascii="Aptos" w:hAnsi="Aptos"/>
          <w:sz w:val="24"/>
          <w:szCs w:val="24"/>
        </w:rPr>
        <w:t xml:space="preserve"> and </w:t>
      </w:r>
      <w:proofErr w:type="spellStart"/>
      <w:r w:rsidRPr="005C4A9B">
        <w:rPr>
          <w:rFonts w:ascii="Aptos" w:hAnsi="Aptos"/>
          <w:sz w:val="24"/>
          <w:szCs w:val="24"/>
        </w:rPr>
        <w:t>ManyWAGS</w:t>
      </w:r>
      <w:proofErr w:type="spellEnd"/>
      <w:r w:rsidR="004118EF" w:rsidRPr="005C4A9B">
        <w:rPr>
          <w:rFonts w:ascii="Aptos" w:hAnsi="Aptos"/>
          <w:sz w:val="24"/>
          <w:szCs w:val="24"/>
        </w:rPr>
        <w:t xml:space="preserve"> </w:t>
      </w:r>
      <w:r w:rsidR="004118EF" w:rsidRPr="005C4A9B">
        <w:rPr>
          <w:rFonts w:ascii="Aptos" w:hAnsi="Aptos"/>
          <w:sz w:val="24"/>
          <w:szCs w:val="24"/>
        </w:rPr>
        <w:fldChar w:fldCharType="begin"/>
      </w:r>
      <w:r w:rsidR="005D7838" w:rsidRPr="005C4A9B">
        <w:rPr>
          <w:rFonts w:ascii="Aptos" w:hAnsi="Aptos"/>
          <w:sz w:val="24"/>
          <w:szCs w:val="24"/>
        </w:rPr>
        <w:instrText xml:space="preserve"> ADDIN EN.CITE &lt;EndNote&gt;&lt;Cite&gt;&lt;Author&gt;Cullen&lt;/Author&gt;&lt;Year&gt;2023&lt;/Year&gt;&lt;RecNum&gt;602&lt;/RecNum&gt;&lt;DisplayText&gt;[2]&lt;/DisplayText&gt;&lt;record&gt;&lt;rec-number&gt;602&lt;/rec-number&gt;&lt;foreign-keys&gt;&lt;key app="EN" db-id="9tterexxitpdaueft5q5f9xq9xtxtf0a20pw" timestamp="1768235935"&gt;602&lt;/key&gt;&lt;/foreign-keys&gt;&lt;ref-type name="Journal Article"&gt;17&lt;/ref-type&gt;&lt;contributors&gt;&lt;authors&gt;&lt;author&gt;Cullen, J. N.&lt;/author&gt;&lt;author&gt;Friedenberg, S. G.&lt;/author&gt;&lt;/authors&gt;&lt;/contributors&gt;&lt;auth-address&gt;Department of Veterinary Clinical Sciences, College of Veterinary Medicine, University of Minnesota, 1352 Boyd Ave, Saint Paul, MN 55108, USA.&lt;/auth-address&gt;&lt;titles&gt;&lt;title&gt;Whole Animal Genome Sequencing: user-friendly, rapid, containerized pipelines for processing, variant discovery, and annotation of short-read whole genome sequencing data&lt;/title&gt;&lt;secondary-title&gt;G3 (Bethesda)&lt;/secondary-title&gt;&lt;/titles&gt;&lt;periodical&gt;&lt;full-title&gt;G3 (Bethesda)&lt;/full-title&gt;&lt;/periodical&gt;&lt;volume&gt;13&lt;/volume&gt;&lt;number&gt;8&lt;/number&gt;&lt;keywords&gt;&lt;keyword&gt;Animals&lt;/keyword&gt;&lt;keyword&gt;*Whole Genome Sequencing&lt;/keyword&gt;&lt;keyword&gt;Time Factors&lt;/keyword&gt;&lt;keyword&gt;Polymorphism, Single Nucleotide&lt;/keyword&gt;&lt;keyword&gt;Humans&lt;/keyword&gt;&lt;keyword&gt;INDEL Mutation&lt;/keyword&gt;&lt;keyword&gt;Genome&lt;/keyword&gt;&lt;keyword&gt;pipeline&lt;/keyword&gt;&lt;keyword&gt;variants&lt;/keyword&gt;&lt;keyword&gt;whole genome sequencing&lt;/keyword&gt;&lt;/keywords&gt;&lt;dates&gt;&lt;year&gt;2023&lt;/year&gt;&lt;pub-dates&gt;&lt;date&gt;Aug 9&lt;/date&gt;&lt;/pub-dates&gt;&lt;/dates&gt;&lt;isbn&gt;2160-1836 (Electronic)&amp;#xD;2160-1836 (Linking)&lt;/isbn&gt;&lt;accession-num&gt;37243692&lt;/accession-num&gt;&lt;urls&gt;&lt;related-urls&gt;&lt;url&gt;https://www.ncbi.nlm.nih.gov/pubmed/37243692&lt;/url&gt;&lt;/related-urls&gt;&lt;/urls&gt;&lt;custom1&gt;Conflicts of interest statement The authors declare no conflict of interest.&lt;/custom1&gt;&lt;custom2&gt;PMC10411559&lt;/custom2&gt;&lt;electronic-resource-num&gt;10.1093/g3journal/jkad117&lt;/electronic-resource-num&gt;&lt;remote-database-name&gt;Medline&lt;/remote-database-name&gt;&lt;remote-database-provider&gt;NLM&lt;/remote-database-provider&gt;&lt;language&gt;Whole Animal Genome Sequencing&lt;/language&gt;&lt;/record&gt;&lt;/Cite&gt;&lt;/EndNote&gt;</w:instrText>
      </w:r>
      <w:r w:rsidR="004118EF" w:rsidRPr="005C4A9B">
        <w:rPr>
          <w:rFonts w:ascii="Aptos" w:hAnsi="Aptos"/>
          <w:sz w:val="24"/>
          <w:szCs w:val="24"/>
        </w:rPr>
        <w:fldChar w:fldCharType="separate"/>
      </w:r>
      <w:r w:rsidR="005D7838" w:rsidRPr="005C4A9B">
        <w:rPr>
          <w:rFonts w:ascii="Aptos" w:hAnsi="Aptos"/>
          <w:noProof/>
          <w:sz w:val="24"/>
          <w:szCs w:val="24"/>
        </w:rPr>
        <w:t>[2]</w:t>
      </w:r>
      <w:r w:rsidR="004118EF" w:rsidRPr="005C4A9B">
        <w:rPr>
          <w:rFonts w:ascii="Aptos" w:hAnsi="Aptos"/>
          <w:sz w:val="24"/>
          <w:szCs w:val="24"/>
        </w:rPr>
        <w:fldChar w:fldCharType="end"/>
      </w:r>
      <w:r w:rsidRPr="005C4A9B">
        <w:rPr>
          <w:rFonts w:ascii="Aptos" w:hAnsi="Aptos"/>
          <w:sz w:val="24"/>
          <w:szCs w:val="24"/>
        </w:rPr>
        <w:t xml:space="preserve">. Default settings were used to produce genomic variant call format (GVCF) files for each sample, including alignment to the built-in reference genome EquCab3 using BWA-MEM. GVCFs were then combined and jointly genotyped. SNPs were filtered using variant quality score recalibration (VQSR) with built-in MNEc2M array sites, while indels were filtered using the default hard-filtering approach. The complete VCF file was annotated using VEP with a manually obtained reference to the EquCab3.0 GTF from </w:t>
      </w:r>
      <w:proofErr w:type="spellStart"/>
      <w:r w:rsidRPr="005C4A9B">
        <w:rPr>
          <w:rFonts w:ascii="Aptos" w:hAnsi="Aptos"/>
          <w:sz w:val="24"/>
          <w:szCs w:val="24"/>
        </w:rPr>
        <w:t>Ensembl</w:t>
      </w:r>
      <w:proofErr w:type="spellEnd"/>
      <w:r w:rsidRPr="005C4A9B">
        <w:rPr>
          <w:rFonts w:ascii="Aptos" w:hAnsi="Aptos"/>
          <w:sz w:val="24"/>
          <w:szCs w:val="24"/>
        </w:rPr>
        <w:t xml:space="preserve"> release 103, compatible with the VEP version in the container.</w:t>
      </w:r>
    </w:p>
    <w:p w14:paraId="4E0E15CF" w14:textId="77777777" w:rsidR="00FA3A2A" w:rsidRPr="005C4A9B" w:rsidRDefault="00FA3A2A" w:rsidP="00772922">
      <w:pPr>
        <w:spacing w:line="240" w:lineRule="auto"/>
        <w:jc w:val="both"/>
        <w:rPr>
          <w:rFonts w:ascii="Aptos" w:hAnsi="Aptos"/>
        </w:rPr>
      </w:pPr>
    </w:p>
    <w:p w14:paraId="25E124B3" w14:textId="77777777" w:rsidR="00FA3A2A" w:rsidRDefault="00FA3A2A" w:rsidP="00033BFD"/>
    <w:p w14:paraId="31AC80A8" w14:textId="77777777" w:rsidR="00FA3A2A" w:rsidRPr="00772922" w:rsidRDefault="00FA3A2A" w:rsidP="00FA3A2A">
      <w:pPr>
        <w:pStyle w:val="Heading3"/>
        <w:keepNext w:val="0"/>
        <w:keepLines w:val="0"/>
        <w:spacing w:before="280"/>
        <w:rPr>
          <w:b/>
          <w:bCs/>
          <w:color w:val="000000" w:themeColor="text1"/>
        </w:rPr>
      </w:pPr>
      <w:r w:rsidRPr="00772922">
        <w:rPr>
          <w:rFonts w:hint="eastAsia"/>
          <w:b/>
          <w:bCs/>
          <w:color w:val="000000" w:themeColor="text1"/>
        </w:rPr>
        <w:lastRenderedPageBreak/>
        <w:t>Supplementary Figures</w:t>
      </w:r>
    </w:p>
    <w:p w14:paraId="41D070B1" w14:textId="77777777" w:rsidR="00FA3A2A" w:rsidRDefault="00FA3A2A" w:rsidP="00FA3A2A">
      <w:pPr>
        <w:spacing w:before="240" w:after="240"/>
        <w:jc w:val="center"/>
      </w:pPr>
      <w:r>
        <w:rPr>
          <w:noProof/>
        </w:rPr>
        <w:drawing>
          <wp:inline distT="0" distB="0" distL="0" distR="0" wp14:anchorId="51AB6DEE" wp14:editId="1D897B86">
            <wp:extent cx="5542059" cy="6467066"/>
            <wp:effectExtent l="0" t="0" r="1905" b="0"/>
            <wp:docPr id="1091507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45085" cy="6470597"/>
                    </a:xfrm>
                    <a:prstGeom prst="rect">
                      <a:avLst/>
                    </a:prstGeom>
                    <a:noFill/>
                    <a:ln>
                      <a:noFill/>
                    </a:ln>
                  </pic:spPr>
                </pic:pic>
              </a:graphicData>
            </a:graphic>
          </wp:inline>
        </w:drawing>
      </w:r>
    </w:p>
    <w:p w14:paraId="7017A553" w14:textId="4C36CA36" w:rsidR="00FA3A2A" w:rsidRPr="00FA3A2A" w:rsidRDefault="00FA3A2A" w:rsidP="00FA3A2A">
      <w:pPr>
        <w:spacing w:before="240" w:after="240"/>
        <w:jc w:val="both"/>
        <w:rPr>
          <w:sz w:val="20"/>
          <w:szCs w:val="20"/>
          <w:lang w:val="en-US"/>
        </w:rPr>
      </w:pPr>
      <w:r w:rsidRPr="00FA3A2A">
        <w:rPr>
          <w:b/>
          <w:bCs/>
          <w:sz w:val="20"/>
          <w:szCs w:val="20"/>
          <w:lang w:val="en-US"/>
        </w:rPr>
        <w:t xml:space="preserve">Figure S1: </w:t>
      </w:r>
      <w:r w:rsidRPr="00FA3A2A">
        <w:rPr>
          <w:sz w:val="20"/>
          <w:szCs w:val="20"/>
          <w:lang w:val="en-US"/>
        </w:rPr>
        <w:t xml:space="preserve">(a) Distance of training </w:t>
      </w:r>
      <w:proofErr w:type="spellStart"/>
      <w:r w:rsidRPr="00FA3A2A">
        <w:rPr>
          <w:sz w:val="20"/>
          <w:szCs w:val="20"/>
          <w:lang w:val="en-US"/>
        </w:rPr>
        <w:t>reQTLs</w:t>
      </w:r>
      <w:proofErr w:type="spellEnd"/>
      <w:r w:rsidRPr="00FA3A2A">
        <w:rPr>
          <w:sz w:val="20"/>
          <w:szCs w:val="20"/>
          <w:lang w:val="en-US"/>
        </w:rPr>
        <w:t xml:space="preserve"> (orange), non-training </w:t>
      </w:r>
      <w:proofErr w:type="spellStart"/>
      <w:r w:rsidRPr="00FA3A2A">
        <w:rPr>
          <w:sz w:val="20"/>
          <w:szCs w:val="20"/>
          <w:lang w:val="en-US"/>
        </w:rPr>
        <w:t>reQTLs</w:t>
      </w:r>
      <w:proofErr w:type="spellEnd"/>
      <w:r w:rsidRPr="00FA3A2A">
        <w:rPr>
          <w:sz w:val="20"/>
          <w:szCs w:val="20"/>
          <w:lang w:val="en-US"/>
        </w:rPr>
        <w:t xml:space="preserve"> (blue), and all </w:t>
      </w:r>
      <w:proofErr w:type="spellStart"/>
      <w:r w:rsidRPr="00FA3A2A">
        <w:rPr>
          <w:sz w:val="20"/>
          <w:szCs w:val="20"/>
          <w:lang w:val="en-US"/>
        </w:rPr>
        <w:t>eQTLs</w:t>
      </w:r>
      <w:proofErr w:type="spellEnd"/>
      <w:r w:rsidRPr="00FA3A2A">
        <w:rPr>
          <w:sz w:val="20"/>
          <w:szCs w:val="20"/>
          <w:lang w:val="en-US"/>
        </w:rPr>
        <w:t xml:space="preserve"> (grey) to the TSS of the target gene. (b) Comparison of distances to TSS between training </w:t>
      </w:r>
      <w:proofErr w:type="spellStart"/>
      <w:r w:rsidRPr="00FA3A2A">
        <w:rPr>
          <w:sz w:val="20"/>
          <w:szCs w:val="20"/>
          <w:lang w:val="en-US"/>
        </w:rPr>
        <w:t>reQTLs</w:t>
      </w:r>
      <w:proofErr w:type="spellEnd"/>
      <w:r w:rsidRPr="00FA3A2A">
        <w:rPr>
          <w:sz w:val="20"/>
          <w:szCs w:val="20"/>
          <w:lang w:val="en-US"/>
        </w:rPr>
        <w:t xml:space="preserve"> and non-</w:t>
      </w:r>
      <w:proofErr w:type="spellStart"/>
      <w:r w:rsidRPr="00FA3A2A">
        <w:rPr>
          <w:rFonts w:hint="eastAsia"/>
          <w:sz w:val="20"/>
          <w:szCs w:val="20"/>
          <w:lang w:val="en-US"/>
        </w:rPr>
        <w:t>traning</w:t>
      </w:r>
      <w:proofErr w:type="spellEnd"/>
      <w:r w:rsidRPr="00FA3A2A">
        <w:rPr>
          <w:rFonts w:hint="eastAsia"/>
          <w:sz w:val="20"/>
          <w:szCs w:val="20"/>
          <w:lang w:val="en-US"/>
        </w:rPr>
        <w:t xml:space="preserve"> </w:t>
      </w:r>
      <w:proofErr w:type="spellStart"/>
      <w:r w:rsidRPr="00FA3A2A">
        <w:rPr>
          <w:sz w:val="20"/>
          <w:szCs w:val="20"/>
          <w:lang w:val="en-US"/>
        </w:rPr>
        <w:t>reQTLs</w:t>
      </w:r>
      <w:proofErr w:type="spellEnd"/>
      <w:r w:rsidRPr="00FA3A2A">
        <w:rPr>
          <w:sz w:val="20"/>
          <w:szCs w:val="20"/>
          <w:lang w:val="en-US"/>
        </w:rPr>
        <w:t xml:space="preserve">, and between training </w:t>
      </w:r>
      <w:proofErr w:type="spellStart"/>
      <w:r w:rsidRPr="00FA3A2A">
        <w:rPr>
          <w:sz w:val="20"/>
          <w:szCs w:val="20"/>
          <w:lang w:val="en-US"/>
        </w:rPr>
        <w:t>reQTLs</w:t>
      </w:r>
      <w:proofErr w:type="spellEnd"/>
      <w:r w:rsidRPr="00FA3A2A">
        <w:rPr>
          <w:sz w:val="20"/>
          <w:szCs w:val="20"/>
          <w:lang w:val="en-US"/>
        </w:rPr>
        <w:t xml:space="preserve"> and all top </w:t>
      </w:r>
      <w:r w:rsidRPr="00FA3A2A">
        <w:rPr>
          <w:i/>
          <w:iCs/>
          <w:sz w:val="20"/>
          <w:szCs w:val="20"/>
          <w:lang w:val="en-US"/>
        </w:rPr>
        <w:t>cis</w:t>
      </w:r>
      <w:r w:rsidRPr="00FA3A2A">
        <w:rPr>
          <w:sz w:val="20"/>
          <w:szCs w:val="20"/>
          <w:lang w:val="en-US"/>
        </w:rPr>
        <w:t>-</w:t>
      </w:r>
      <w:proofErr w:type="spellStart"/>
      <w:r w:rsidRPr="00FA3A2A">
        <w:rPr>
          <w:sz w:val="20"/>
          <w:szCs w:val="20"/>
          <w:lang w:val="en-US"/>
        </w:rPr>
        <w:t>eQTLs</w:t>
      </w:r>
      <w:proofErr w:type="spellEnd"/>
      <w:r w:rsidRPr="00FA3A2A">
        <w:rPr>
          <w:sz w:val="20"/>
          <w:szCs w:val="20"/>
          <w:lang w:val="en-US"/>
        </w:rPr>
        <w:t xml:space="preserve">. Differences in distance distributions were assessed using the Wilcoxon rank-sum test.  (c, d) represented the significantly enriched GO terms for exercise </w:t>
      </w:r>
      <w:proofErr w:type="spellStart"/>
      <w:r w:rsidRPr="00FA3A2A">
        <w:rPr>
          <w:sz w:val="20"/>
          <w:szCs w:val="20"/>
          <w:lang w:val="en-US"/>
        </w:rPr>
        <w:t>reGenes</w:t>
      </w:r>
      <w:proofErr w:type="spellEnd"/>
      <w:r w:rsidRPr="00FA3A2A">
        <w:rPr>
          <w:sz w:val="20"/>
          <w:szCs w:val="20"/>
          <w:lang w:val="en-US"/>
        </w:rPr>
        <w:t xml:space="preserve"> in UE vs</w:t>
      </w:r>
      <w:r w:rsidRPr="00FA3A2A">
        <w:rPr>
          <w:i/>
          <w:iCs/>
          <w:sz w:val="20"/>
          <w:szCs w:val="20"/>
          <w:lang w:val="en-US"/>
        </w:rPr>
        <w:t xml:space="preserve">. </w:t>
      </w:r>
      <w:r w:rsidRPr="00FA3A2A">
        <w:rPr>
          <w:sz w:val="20"/>
          <w:szCs w:val="20"/>
          <w:lang w:val="en-US"/>
        </w:rPr>
        <w:t xml:space="preserve">UR and training </w:t>
      </w:r>
      <w:proofErr w:type="spellStart"/>
      <w:r w:rsidRPr="00FA3A2A">
        <w:rPr>
          <w:sz w:val="20"/>
          <w:szCs w:val="20"/>
          <w:lang w:val="en-US"/>
        </w:rPr>
        <w:t>reGenes</w:t>
      </w:r>
      <w:proofErr w:type="spellEnd"/>
      <w:r w:rsidRPr="00FA3A2A">
        <w:rPr>
          <w:sz w:val="20"/>
          <w:szCs w:val="20"/>
          <w:lang w:val="en-US"/>
        </w:rPr>
        <w:t xml:space="preserve"> in TR vs</w:t>
      </w:r>
      <w:r w:rsidRPr="00FA3A2A">
        <w:rPr>
          <w:i/>
          <w:iCs/>
          <w:sz w:val="20"/>
          <w:szCs w:val="20"/>
          <w:lang w:val="en-US"/>
        </w:rPr>
        <w:t xml:space="preserve">. </w:t>
      </w:r>
      <w:r w:rsidRPr="00FA3A2A">
        <w:rPr>
          <w:sz w:val="20"/>
          <w:szCs w:val="20"/>
          <w:lang w:val="en-US"/>
        </w:rPr>
        <w:t xml:space="preserve">UR. The size of each dot corresponded to the number of genes enriched in the respective terms, with larger dots indicating a greater number of enriched genes. The color gradient represented the </w:t>
      </w:r>
      <w:r w:rsidRPr="00FA3A2A">
        <w:rPr>
          <w:i/>
          <w:iCs/>
          <w:sz w:val="20"/>
          <w:szCs w:val="20"/>
          <w:lang w:val="en-US"/>
        </w:rPr>
        <w:t>P</w:t>
      </w:r>
      <w:r w:rsidRPr="00FA3A2A">
        <w:rPr>
          <w:sz w:val="20"/>
          <w:szCs w:val="20"/>
          <w:lang w:val="en-US"/>
        </w:rPr>
        <w:t xml:space="preserve">-value of significance, where redder shades denoted more statistically significant enrichment. (e) Proportion of transcription factor (TF) genes among exercise </w:t>
      </w:r>
      <w:proofErr w:type="spellStart"/>
      <w:r w:rsidRPr="00FA3A2A">
        <w:rPr>
          <w:sz w:val="20"/>
          <w:szCs w:val="20"/>
          <w:lang w:val="en-US"/>
        </w:rPr>
        <w:t>reGenes</w:t>
      </w:r>
      <w:proofErr w:type="spellEnd"/>
      <w:r w:rsidRPr="00FA3A2A">
        <w:rPr>
          <w:sz w:val="20"/>
          <w:szCs w:val="20"/>
          <w:lang w:val="en-US"/>
        </w:rPr>
        <w:t xml:space="preserve"> (blue), non-exercise </w:t>
      </w:r>
      <w:proofErr w:type="spellStart"/>
      <w:r w:rsidRPr="00FA3A2A">
        <w:rPr>
          <w:sz w:val="20"/>
          <w:szCs w:val="20"/>
          <w:lang w:val="en-US"/>
        </w:rPr>
        <w:t>reGenes</w:t>
      </w:r>
      <w:proofErr w:type="spellEnd"/>
      <w:r w:rsidRPr="00FA3A2A">
        <w:rPr>
          <w:sz w:val="20"/>
          <w:szCs w:val="20"/>
          <w:lang w:val="en-US"/>
        </w:rPr>
        <w:t xml:space="preserve"> (grey), training </w:t>
      </w:r>
      <w:proofErr w:type="spellStart"/>
      <w:r w:rsidRPr="00FA3A2A">
        <w:rPr>
          <w:sz w:val="20"/>
          <w:szCs w:val="20"/>
          <w:lang w:val="en-US"/>
        </w:rPr>
        <w:t>reGenes</w:t>
      </w:r>
      <w:proofErr w:type="spellEnd"/>
      <w:r w:rsidRPr="00FA3A2A">
        <w:rPr>
          <w:sz w:val="20"/>
          <w:szCs w:val="20"/>
          <w:lang w:val="en-US"/>
        </w:rPr>
        <w:t xml:space="preserve"> (orange), and non-training </w:t>
      </w:r>
      <w:proofErr w:type="spellStart"/>
      <w:r w:rsidRPr="00FA3A2A">
        <w:rPr>
          <w:sz w:val="20"/>
          <w:szCs w:val="20"/>
          <w:lang w:val="en-US"/>
        </w:rPr>
        <w:t>reGenes</w:t>
      </w:r>
      <w:proofErr w:type="spellEnd"/>
      <w:r w:rsidRPr="00FA3A2A">
        <w:rPr>
          <w:sz w:val="20"/>
          <w:szCs w:val="20"/>
          <w:lang w:val="en-US"/>
        </w:rPr>
        <w:t xml:space="preserve"> (grey), respectively. Error bars represented standard deviations. The significant </w:t>
      </w:r>
      <w:r w:rsidRPr="00FA3A2A">
        <w:rPr>
          <w:i/>
          <w:iCs/>
          <w:sz w:val="20"/>
          <w:szCs w:val="20"/>
          <w:lang w:val="en-US"/>
        </w:rPr>
        <w:t>P</w:t>
      </w:r>
      <w:r w:rsidRPr="00FA3A2A">
        <w:rPr>
          <w:sz w:val="20"/>
          <w:szCs w:val="20"/>
          <w:lang w:val="en-US"/>
        </w:rPr>
        <w:t>-value was detected by two-sample proportion test.</w:t>
      </w:r>
    </w:p>
    <w:p w14:paraId="3C92CA50" w14:textId="0C47D0F5" w:rsidR="00FA3A2A" w:rsidRPr="00FA3A2A" w:rsidRDefault="00FA3A2A" w:rsidP="00FA3A2A">
      <w:pPr>
        <w:spacing w:before="240" w:after="240"/>
        <w:rPr>
          <w:sz w:val="20"/>
          <w:szCs w:val="20"/>
          <w:lang w:val="en-US"/>
        </w:rPr>
      </w:pPr>
      <w:r>
        <w:rPr>
          <w:noProof/>
        </w:rPr>
        <w:lastRenderedPageBreak/>
        <w:drawing>
          <wp:anchor distT="0" distB="0" distL="114300" distR="114300" simplePos="0" relativeHeight="251659264" behindDoc="1" locked="0" layoutInCell="1" allowOverlap="1" wp14:anchorId="31BB00A3" wp14:editId="19C7860B">
            <wp:simplePos x="0" y="0"/>
            <wp:positionH relativeFrom="column">
              <wp:posOffset>-31750</wp:posOffset>
            </wp:positionH>
            <wp:positionV relativeFrom="paragraph">
              <wp:posOffset>258445</wp:posOffset>
            </wp:positionV>
            <wp:extent cx="5734685" cy="5687060"/>
            <wp:effectExtent l="0" t="0" r="0" b="8890"/>
            <wp:wrapTight wrapText="bothSides">
              <wp:wrapPolygon edited="0">
                <wp:start x="0" y="0"/>
                <wp:lineTo x="0" y="21561"/>
                <wp:lineTo x="21526" y="21561"/>
                <wp:lineTo x="21526" y="0"/>
                <wp:lineTo x="0" y="0"/>
              </wp:wrapPolygon>
            </wp:wrapTight>
            <wp:docPr id="1709592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4685" cy="5687060"/>
                    </a:xfrm>
                    <a:prstGeom prst="rect">
                      <a:avLst/>
                    </a:prstGeom>
                    <a:noFill/>
                    <a:ln>
                      <a:noFill/>
                    </a:ln>
                  </pic:spPr>
                </pic:pic>
              </a:graphicData>
            </a:graphic>
          </wp:anchor>
        </w:drawing>
      </w:r>
    </w:p>
    <w:p w14:paraId="48B8999E" w14:textId="269BE1B8" w:rsidR="00FA3A2A" w:rsidRPr="00FA3A2A" w:rsidRDefault="00FA3A2A" w:rsidP="00FA3A2A">
      <w:pPr>
        <w:spacing w:before="240" w:after="240"/>
        <w:jc w:val="both"/>
        <w:rPr>
          <w:sz w:val="20"/>
          <w:szCs w:val="20"/>
        </w:rPr>
      </w:pPr>
      <w:r w:rsidRPr="00FA3A2A">
        <w:rPr>
          <w:b/>
          <w:bCs/>
          <w:sz w:val="20"/>
          <w:szCs w:val="20"/>
          <w:lang w:val="en-US"/>
        </w:rPr>
        <w:t xml:space="preserve">Figure S2: Manhattan plot depicting results from GWAS. </w:t>
      </w:r>
      <w:r w:rsidRPr="00FA3A2A">
        <w:rPr>
          <w:sz w:val="20"/>
          <w:szCs w:val="20"/>
          <w:lang w:val="en-US"/>
        </w:rPr>
        <w:t xml:space="preserve">(a, b, and c) presented the GWAS outcomes for average distance for all horses, best racing distance for elite horses, and best racing distance for nonelite horses, respectively. The two red horizontal line indicated the </w:t>
      </w:r>
      <w:r w:rsidRPr="00FA3A2A">
        <w:rPr>
          <w:i/>
          <w:iCs/>
          <w:sz w:val="20"/>
          <w:szCs w:val="20"/>
          <w:lang w:val="en-US"/>
        </w:rPr>
        <w:t>P</w:t>
      </w:r>
      <w:r w:rsidRPr="00FA3A2A">
        <w:rPr>
          <w:sz w:val="20"/>
          <w:szCs w:val="20"/>
          <w:lang w:val="en-US"/>
        </w:rPr>
        <w:t xml:space="preserve">-value threshold for genome wide significance using the Bonferroni (BF) and Benjamini–Hochberg (BH) for multiple testing. (d) </w:t>
      </w:r>
      <w:r w:rsidRPr="00FA3A2A">
        <w:rPr>
          <w:sz w:val="20"/>
          <w:szCs w:val="20"/>
        </w:rPr>
        <w:t>Regional association and linkage disequilibrium (LD) plot for the top associated locus for BRD-ELI GWAS. Regional association plot showing the –log</w:t>
      </w:r>
      <w:r w:rsidRPr="00FA3A2A">
        <w:rPr>
          <w:rFonts w:ascii="Cambria Math" w:hAnsi="Cambria Math" w:cs="Cambria Math"/>
          <w:sz w:val="20"/>
          <w:szCs w:val="20"/>
        </w:rPr>
        <w:t>₁₀</w:t>
      </w:r>
      <w:r w:rsidRPr="00FA3A2A">
        <w:rPr>
          <w:sz w:val="20"/>
          <w:szCs w:val="20"/>
        </w:rPr>
        <w:t xml:space="preserve">(P) values of SNPs from the GWAS around the lead SNP (chr18: 66857339). The </w:t>
      </w:r>
      <w:proofErr w:type="spellStart"/>
      <w:r w:rsidRPr="00FA3A2A">
        <w:rPr>
          <w:sz w:val="20"/>
          <w:szCs w:val="20"/>
        </w:rPr>
        <w:t>colo</w:t>
      </w:r>
      <w:proofErr w:type="spellEnd"/>
      <w:r w:rsidRPr="00FA3A2A">
        <w:rPr>
          <w:sz w:val="20"/>
          <w:szCs w:val="20"/>
          <w:lang w:val="en-US"/>
        </w:rPr>
        <w:t>u</w:t>
      </w:r>
      <w:r w:rsidRPr="00FA3A2A">
        <w:rPr>
          <w:sz w:val="20"/>
          <w:szCs w:val="20"/>
        </w:rPr>
        <w:t>r of each SNP represents the LD (r²) with the lead SNP. The bottom triangle represents the pairwise LD (r²) pattern, where red indicates strong LD and yellow indicates weaker LD.</w:t>
      </w:r>
    </w:p>
    <w:p w14:paraId="06764B73" w14:textId="452F1514" w:rsidR="00FA3A2A" w:rsidRDefault="00FA3A2A" w:rsidP="00FA3A2A">
      <w:pPr>
        <w:spacing w:before="240" w:after="240"/>
      </w:pPr>
      <w:r>
        <w:rPr>
          <w:rFonts w:hint="eastAsia"/>
          <w:noProof/>
        </w:rPr>
        <w:lastRenderedPageBreak/>
        <w:drawing>
          <wp:anchor distT="0" distB="0" distL="114300" distR="114300" simplePos="0" relativeHeight="251660288" behindDoc="1" locked="0" layoutInCell="1" allowOverlap="1" wp14:anchorId="18FFAC64" wp14:editId="088FBA59">
            <wp:simplePos x="0" y="0"/>
            <wp:positionH relativeFrom="column">
              <wp:posOffset>-40005</wp:posOffset>
            </wp:positionH>
            <wp:positionV relativeFrom="paragraph">
              <wp:posOffset>281940</wp:posOffset>
            </wp:positionV>
            <wp:extent cx="5729605" cy="6680835"/>
            <wp:effectExtent l="0" t="0" r="4445" b="5715"/>
            <wp:wrapTight wrapText="bothSides">
              <wp:wrapPolygon edited="0">
                <wp:start x="0" y="0"/>
                <wp:lineTo x="0" y="21557"/>
                <wp:lineTo x="21545" y="21557"/>
                <wp:lineTo x="21545" y="0"/>
                <wp:lineTo x="0" y="0"/>
              </wp:wrapPolygon>
            </wp:wrapTight>
            <wp:docPr id="2506333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9605" cy="6680835"/>
                    </a:xfrm>
                    <a:prstGeom prst="rect">
                      <a:avLst/>
                    </a:prstGeom>
                    <a:noFill/>
                    <a:ln>
                      <a:noFill/>
                    </a:ln>
                  </pic:spPr>
                </pic:pic>
              </a:graphicData>
            </a:graphic>
          </wp:anchor>
        </w:drawing>
      </w:r>
    </w:p>
    <w:p w14:paraId="6E34F065" w14:textId="5D12BABE" w:rsidR="00FA3A2A" w:rsidRPr="00FA3A2A" w:rsidRDefault="00FA3A2A" w:rsidP="00FA3A2A">
      <w:pPr>
        <w:spacing w:before="240" w:after="240"/>
        <w:jc w:val="both"/>
        <w:rPr>
          <w:sz w:val="20"/>
          <w:szCs w:val="20"/>
        </w:rPr>
      </w:pPr>
      <w:r w:rsidRPr="00FA3A2A">
        <w:rPr>
          <w:b/>
          <w:bCs/>
          <w:sz w:val="20"/>
          <w:szCs w:val="20"/>
          <w:lang w:val="en-US"/>
        </w:rPr>
        <w:t>Figure S3</w:t>
      </w:r>
      <w:r w:rsidRPr="00FA3A2A">
        <w:rPr>
          <w:sz w:val="20"/>
          <w:szCs w:val="20"/>
          <w:lang w:val="en-US"/>
        </w:rPr>
        <w:t xml:space="preserve">: QQ plot showing the distribution of </w:t>
      </w:r>
      <w:r w:rsidRPr="00FA3A2A">
        <w:rPr>
          <w:i/>
          <w:iCs/>
          <w:sz w:val="20"/>
          <w:szCs w:val="20"/>
          <w:lang w:val="en-US"/>
        </w:rPr>
        <w:t>P</w:t>
      </w:r>
      <w:r w:rsidRPr="00FA3A2A">
        <w:rPr>
          <w:sz w:val="20"/>
          <w:szCs w:val="20"/>
          <w:lang w:val="en-US"/>
        </w:rPr>
        <w:t xml:space="preserve"> values from the GWAS for 5 phenotypes, including average distance for all horses (S3a), best racing distance for all horse (S3b), best racing distance for elite horses (S3c), and best racing distance for nonelite horses (S3d), and speed of horses at two years of age (S3e), respectively.  </w:t>
      </w:r>
    </w:p>
    <w:p w14:paraId="7FF7451A" w14:textId="472E2886" w:rsidR="00FA3A2A" w:rsidRDefault="00FA3A2A" w:rsidP="00FA3A2A">
      <w:pPr>
        <w:spacing w:before="240" w:after="240"/>
      </w:pPr>
    </w:p>
    <w:p w14:paraId="4C2304BC" w14:textId="3292ECF5" w:rsidR="00FA3A2A" w:rsidRDefault="00FA3A2A" w:rsidP="00FA3A2A">
      <w:pPr>
        <w:spacing w:before="240" w:after="240"/>
        <w:jc w:val="center"/>
      </w:pPr>
      <w:r>
        <w:rPr>
          <w:noProof/>
        </w:rPr>
        <w:lastRenderedPageBreak/>
        <w:drawing>
          <wp:anchor distT="0" distB="0" distL="114300" distR="114300" simplePos="0" relativeHeight="251661312" behindDoc="1" locked="0" layoutInCell="1" allowOverlap="1" wp14:anchorId="4B779B42" wp14:editId="1C38F481">
            <wp:simplePos x="0" y="0"/>
            <wp:positionH relativeFrom="column">
              <wp:posOffset>793916</wp:posOffset>
            </wp:positionH>
            <wp:positionV relativeFrom="paragraph">
              <wp:posOffset>64191</wp:posOffset>
            </wp:positionV>
            <wp:extent cx="4045585" cy="7647940"/>
            <wp:effectExtent l="0" t="0" r="0" b="0"/>
            <wp:wrapTight wrapText="bothSides">
              <wp:wrapPolygon edited="0">
                <wp:start x="0" y="0"/>
                <wp:lineTo x="0" y="21521"/>
                <wp:lineTo x="21461" y="21521"/>
                <wp:lineTo x="21461" y="0"/>
                <wp:lineTo x="0" y="0"/>
              </wp:wrapPolygon>
            </wp:wrapTight>
            <wp:docPr id="19565829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45585" cy="7647940"/>
                    </a:xfrm>
                    <a:prstGeom prst="rect">
                      <a:avLst/>
                    </a:prstGeom>
                    <a:noFill/>
                    <a:ln>
                      <a:noFill/>
                    </a:ln>
                  </pic:spPr>
                </pic:pic>
              </a:graphicData>
            </a:graphic>
          </wp:anchor>
        </w:drawing>
      </w:r>
    </w:p>
    <w:p w14:paraId="767977BC" w14:textId="77777777" w:rsidR="00FA3A2A" w:rsidRDefault="00FA3A2A" w:rsidP="00FA3A2A">
      <w:pPr>
        <w:spacing w:before="240" w:after="240"/>
        <w:jc w:val="center"/>
      </w:pPr>
    </w:p>
    <w:p w14:paraId="2CF36687" w14:textId="77777777" w:rsidR="00FA3A2A" w:rsidRDefault="00FA3A2A" w:rsidP="00FA3A2A">
      <w:pPr>
        <w:spacing w:before="240" w:after="240"/>
        <w:jc w:val="center"/>
      </w:pPr>
    </w:p>
    <w:p w14:paraId="10B10D02" w14:textId="77777777" w:rsidR="00FA3A2A" w:rsidRDefault="00FA3A2A" w:rsidP="00FA3A2A">
      <w:pPr>
        <w:spacing w:before="240" w:after="240"/>
        <w:jc w:val="center"/>
      </w:pPr>
    </w:p>
    <w:p w14:paraId="734CAF89" w14:textId="77777777" w:rsidR="00FA3A2A" w:rsidRDefault="00FA3A2A" w:rsidP="00FA3A2A">
      <w:pPr>
        <w:spacing w:before="240" w:after="240"/>
        <w:jc w:val="center"/>
      </w:pPr>
    </w:p>
    <w:p w14:paraId="5FF7023E" w14:textId="77777777" w:rsidR="00FA3A2A" w:rsidRDefault="00FA3A2A" w:rsidP="00FA3A2A">
      <w:pPr>
        <w:spacing w:before="240" w:after="240"/>
        <w:jc w:val="center"/>
      </w:pPr>
    </w:p>
    <w:p w14:paraId="221DFEE2" w14:textId="77777777" w:rsidR="00FA3A2A" w:rsidRDefault="00FA3A2A" w:rsidP="00FA3A2A">
      <w:pPr>
        <w:spacing w:before="240" w:after="240"/>
        <w:jc w:val="center"/>
      </w:pPr>
    </w:p>
    <w:p w14:paraId="73C7EF54" w14:textId="77777777" w:rsidR="00FA3A2A" w:rsidRDefault="00FA3A2A" w:rsidP="00FA3A2A">
      <w:pPr>
        <w:spacing w:before="240" w:after="240"/>
        <w:jc w:val="center"/>
      </w:pPr>
    </w:p>
    <w:p w14:paraId="58355171" w14:textId="77777777" w:rsidR="00FA3A2A" w:rsidRDefault="00FA3A2A" w:rsidP="00FA3A2A">
      <w:pPr>
        <w:spacing w:before="240" w:after="240"/>
        <w:jc w:val="center"/>
      </w:pPr>
    </w:p>
    <w:p w14:paraId="1082337F" w14:textId="77777777" w:rsidR="00FA3A2A" w:rsidRDefault="00FA3A2A" w:rsidP="00FA3A2A">
      <w:pPr>
        <w:spacing w:before="240" w:after="240"/>
        <w:jc w:val="center"/>
      </w:pPr>
    </w:p>
    <w:p w14:paraId="6DFE41A3" w14:textId="77777777" w:rsidR="00FA3A2A" w:rsidRDefault="00FA3A2A" w:rsidP="00FA3A2A">
      <w:pPr>
        <w:spacing w:before="240" w:after="240"/>
        <w:jc w:val="center"/>
      </w:pPr>
    </w:p>
    <w:p w14:paraId="4E28F463" w14:textId="77777777" w:rsidR="00FA3A2A" w:rsidRDefault="00FA3A2A" w:rsidP="00FA3A2A">
      <w:pPr>
        <w:spacing w:before="240" w:after="240"/>
        <w:jc w:val="center"/>
      </w:pPr>
    </w:p>
    <w:p w14:paraId="143462A5" w14:textId="77777777" w:rsidR="00FA3A2A" w:rsidRDefault="00FA3A2A" w:rsidP="00FA3A2A">
      <w:pPr>
        <w:spacing w:before="240" w:after="240"/>
        <w:jc w:val="center"/>
      </w:pPr>
    </w:p>
    <w:p w14:paraId="38B8FDE7" w14:textId="77777777" w:rsidR="00FA3A2A" w:rsidRDefault="00FA3A2A" w:rsidP="00FA3A2A">
      <w:pPr>
        <w:spacing w:before="240" w:after="240"/>
        <w:jc w:val="center"/>
      </w:pPr>
    </w:p>
    <w:p w14:paraId="2BF155F8" w14:textId="77777777" w:rsidR="00FA3A2A" w:rsidRDefault="00FA3A2A" w:rsidP="00FA3A2A">
      <w:pPr>
        <w:spacing w:before="240" w:after="240"/>
        <w:jc w:val="center"/>
      </w:pPr>
    </w:p>
    <w:p w14:paraId="647BD6C5" w14:textId="77777777" w:rsidR="00FA3A2A" w:rsidRDefault="00FA3A2A" w:rsidP="00FA3A2A">
      <w:pPr>
        <w:spacing w:before="240" w:after="240"/>
        <w:jc w:val="center"/>
      </w:pPr>
    </w:p>
    <w:p w14:paraId="7DEB2EEF" w14:textId="77777777" w:rsidR="00FA3A2A" w:rsidRDefault="00FA3A2A" w:rsidP="00FA3A2A">
      <w:pPr>
        <w:spacing w:before="240" w:after="240"/>
        <w:jc w:val="center"/>
      </w:pPr>
    </w:p>
    <w:p w14:paraId="42749231" w14:textId="77777777" w:rsidR="00FA3A2A" w:rsidRDefault="00FA3A2A" w:rsidP="00FA3A2A">
      <w:pPr>
        <w:spacing w:before="240" w:after="240"/>
        <w:jc w:val="center"/>
      </w:pPr>
    </w:p>
    <w:p w14:paraId="0D1935F3" w14:textId="77777777" w:rsidR="00FA3A2A" w:rsidRDefault="00FA3A2A" w:rsidP="00FA3A2A">
      <w:pPr>
        <w:spacing w:before="240" w:after="240"/>
        <w:jc w:val="center"/>
      </w:pPr>
    </w:p>
    <w:p w14:paraId="1B375E15" w14:textId="77777777" w:rsidR="00FA3A2A" w:rsidRDefault="00FA3A2A" w:rsidP="00FA3A2A">
      <w:pPr>
        <w:spacing w:before="240" w:after="240"/>
        <w:jc w:val="center"/>
      </w:pPr>
    </w:p>
    <w:p w14:paraId="362104F3" w14:textId="77777777" w:rsidR="00FA3A2A" w:rsidRDefault="00FA3A2A" w:rsidP="00FA3A2A">
      <w:pPr>
        <w:spacing w:before="240" w:after="240"/>
        <w:jc w:val="center"/>
      </w:pPr>
    </w:p>
    <w:p w14:paraId="2BC7B665" w14:textId="77777777" w:rsidR="00FA3A2A" w:rsidRDefault="00FA3A2A" w:rsidP="00FA3A2A">
      <w:pPr>
        <w:spacing w:before="240" w:after="240"/>
      </w:pPr>
    </w:p>
    <w:p w14:paraId="27AD0B8C" w14:textId="77777777" w:rsidR="00FA3A2A" w:rsidRDefault="00FA3A2A" w:rsidP="00FA3A2A">
      <w:pPr>
        <w:spacing w:before="240" w:after="240"/>
      </w:pPr>
    </w:p>
    <w:p w14:paraId="34A0BEF2" w14:textId="77777777" w:rsidR="00FA3A2A" w:rsidRPr="00FA3A2A" w:rsidRDefault="00FA3A2A" w:rsidP="00FA3A2A">
      <w:pPr>
        <w:spacing w:before="240" w:after="240"/>
        <w:jc w:val="both"/>
        <w:rPr>
          <w:sz w:val="20"/>
          <w:szCs w:val="20"/>
        </w:rPr>
      </w:pPr>
      <w:r w:rsidRPr="00FA3A2A">
        <w:rPr>
          <w:b/>
          <w:bCs/>
          <w:sz w:val="20"/>
          <w:szCs w:val="20"/>
          <w:lang w:val="en-US"/>
        </w:rPr>
        <w:t xml:space="preserve">Figure S4: Manhattan plot depicting results from Conditional GWAS. </w:t>
      </w:r>
      <w:r w:rsidRPr="00FA3A2A">
        <w:rPr>
          <w:sz w:val="20"/>
          <w:szCs w:val="20"/>
          <w:lang w:val="en-US"/>
        </w:rPr>
        <w:t>(a, b, c, and d) presented the conditional GWAS outcomes for average distance for all horses, best racing distance for all horse</w:t>
      </w:r>
      <w:r w:rsidRPr="00FA3A2A">
        <w:rPr>
          <w:rFonts w:hint="eastAsia"/>
          <w:sz w:val="20"/>
          <w:szCs w:val="20"/>
          <w:lang w:val="en-US"/>
        </w:rPr>
        <w:t>s</w:t>
      </w:r>
      <w:r w:rsidRPr="00FA3A2A">
        <w:rPr>
          <w:sz w:val="20"/>
          <w:szCs w:val="20"/>
          <w:lang w:val="en-US"/>
        </w:rPr>
        <w:t xml:space="preserve">, best racing distance for elite horses, and best racing distance for nonelite horses, respectively. The red horizontal line indicated the </w:t>
      </w:r>
      <w:r w:rsidRPr="00FA3A2A">
        <w:rPr>
          <w:i/>
          <w:iCs/>
          <w:sz w:val="20"/>
          <w:szCs w:val="20"/>
          <w:lang w:val="en-US"/>
        </w:rPr>
        <w:t>P</w:t>
      </w:r>
      <w:r w:rsidRPr="00FA3A2A">
        <w:rPr>
          <w:sz w:val="20"/>
          <w:szCs w:val="20"/>
          <w:lang w:val="en-US"/>
        </w:rPr>
        <w:t>-value threshold “5e-8”.</w:t>
      </w:r>
    </w:p>
    <w:p w14:paraId="15CA0F86" w14:textId="77777777" w:rsidR="00FA3A2A" w:rsidRDefault="00FA3A2A" w:rsidP="00FA3A2A">
      <w:pPr>
        <w:spacing w:before="240" w:after="240"/>
        <w:jc w:val="center"/>
      </w:pPr>
      <w:r>
        <w:rPr>
          <w:rFonts w:hint="eastAsia"/>
          <w:noProof/>
        </w:rPr>
        <w:lastRenderedPageBreak/>
        <w:drawing>
          <wp:inline distT="0" distB="0" distL="0" distR="0" wp14:anchorId="0938988B" wp14:editId="7479ECA7">
            <wp:extent cx="3649345" cy="7986324"/>
            <wp:effectExtent l="0" t="0" r="8255" b="0"/>
            <wp:docPr id="1349560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0616" cy="8032873"/>
                    </a:xfrm>
                    <a:prstGeom prst="rect">
                      <a:avLst/>
                    </a:prstGeom>
                    <a:noFill/>
                    <a:ln>
                      <a:noFill/>
                    </a:ln>
                  </pic:spPr>
                </pic:pic>
              </a:graphicData>
            </a:graphic>
          </wp:inline>
        </w:drawing>
      </w:r>
    </w:p>
    <w:p w14:paraId="663A583C" w14:textId="11C06904" w:rsidR="00FA3A2A" w:rsidRPr="00FA3A2A" w:rsidRDefault="00FA3A2A" w:rsidP="00FA3A2A">
      <w:pPr>
        <w:rPr>
          <w:b/>
          <w:bCs/>
          <w:color w:val="000000"/>
        </w:rPr>
      </w:pPr>
      <w:r w:rsidRPr="00FA3A2A">
        <w:rPr>
          <w:b/>
          <w:bCs/>
          <w:lang w:val="en-US"/>
        </w:rPr>
        <w:t xml:space="preserve">Figure S5: </w:t>
      </w:r>
      <w:r w:rsidRPr="00FA3A2A">
        <w:rPr>
          <w:b/>
          <w:bCs/>
        </w:rPr>
        <w:t>Principal component analysis (PCA) of gene expression profiles</w:t>
      </w:r>
      <w:r w:rsidRPr="00FA3A2A">
        <w:rPr>
          <w:b/>
          <w:bCs/>
          <w:lang w:val="en-US"/>
        </w:rPr>
        <w:t>.</w:t>
      </w:r>
      <w:r w:rsidRPr="00FA3A2A">
        <w:rPr>
          <w:lang w:val="en-US"/>
        </w:rPr>
        <w:t xml:space="preserve"> (a) </w:t>
      </w:r>
      <w:r w:rsidRPr="00FA3A2A">
        <w:t xml:space="preserve">PCA of all horses included in the </w:t>
      </w:r>
      <w:proofErr w:type="spellStart"/>
      <w:r w:rsidRPr="00FA3A2A">
        <w:t>eQTL</w:t>
      </w:r>
      <w:proofErr w:type="spellEnd"/>
      <w:r w:rsidRPr="00FA3A2A">
        <w:t xml:space="preserve"> mapping.</w:t>
      </w:r>
      <w:r w:rsidRPr="00FA3A2A">
        <w:rPr>
          <w:lang w:val="en-US"/>
        </w:rPr>
        <w:t xml:space="preserve"> (b) </w:t>
      </w:r>
      <w:r w:rsidRPr="00FA3A2A">
        <w:t xml:space="preserve">PCA of horses used in the </w:t>
      </w:r>
      <w:proofErr w:type="spellStart"/>
      <w:r w:rsidRPr="00FA3A2A">
        <w:t>reQTL</w:t>
      </w:r>
      <w:proofErr w:type="spellEnd"/>
      <w:r w:rsidRPr="00FA3A2A">
        <w:t xml:space="preserve"> analysis comparing UE vs. UR. (c) PCA of horses used in the </w:t>
      </w:r>
      <w:proofErr w:type="spellStart"/>
      <w:r w:rsidRPr="00FA3A2A">
        <w:t>reQTL</w:t>
      </w:r>
      <w:proofErr w:type="spellEnd"/>
      <w:r w:rsidRPr="00FA3A2A">
        <w:t xml:space="preserve"> analysis comparing TR vs. UR.</w:t>
      </w:r>
      <w:r w:rsidRPr="00FA3A2A">
        <w:rPr>
          <w:b/>
          <w:bCs/>
          <w:color w:val="000000"/>
        </w:rPr>
        <w:t xml:space="preserve"> </w:t>
      </w:r>
    </w:p>
    <w:p w14:paraId="7B4C8A5D" w14:textId="6B63118F" w:rsidR="00FA3A2A" w:rsidRPr="008676E1" w:rsidRDefault="00FA3A2A" w:rsidP="00FA3A2A">
      <w:pPr>
        <w:pStyle w:val="Heading3"/>
        <w:keepNext w:val="0"/>
        <w:keepLines w:val="0"/>
        <w:spacing w:before="280"/>
        <w:rPr>
          <w:b/>
          <w:bCs/>
          <w:color w:val="000000"/>
          <w:sz w:val="26"/>
          <w:szCs w:val="26"/>
        </w:rPr>
      </w:pPr>
      <w:r>
        <w:rPr>
          <w:b/>
          <w:bCs/>
          <w:color w:val="000000"/>
          <w:sz w:val="26"/>
          <w:szCs w:val="26"/>
        </w:rPr>
        <w:lastRenderedPageBreak/>
        <w:t>References</w:t>
      </w:r>
    </w:p>
    <w:p w14:paraId="426500C1" w14:textId="77777777" w:rsidR="00FA3A2A" w:rsidRDefault="00FA3A2A" w:rsidP="00FA3A2A"/>
    <w:p w14:paraId="37DAC667" w14:textId="77777777" w:rsidR="00FA3A2A" w:rsidRPr="000335EF" w:rsidRDefault="00FA3A2A" w:rsidP="00FA3A2A">
      <w:pPr>
        <w:pStyle w:val="EndNoteBibliography"/>
        <w:ind w:left="720" w:hanging="720"/>
        <w:rPr>
          <w:bCs/>
        </w:rPr>
      </w:pPr>
      <w:r>
        <w:fldChar w:fldCharType="begin"/>
      </w:r>
      <w:r>
        <w:instrText xml:space="preserve"> ADDIN EN.REFLIST </w:instrText>
      </w:r>
      <w:r>
        <w:fldChar w:fldCharType="separate"/>
      </w:r>
      <w:r w:rsidRPr="005D7838">
        <w:t>1.</w:t>
      </w:r>
      <w:r w:rsidRPr="005D7838">
        <w:tab/>
        <w:t>Chen S</w:t>
      </w:r>
      <w:r w:rsidRPr="000335EF">
        <w:t xml:space="preserve">: </w:t>
      </w:r>
      <w:r w:rsidRPr="00D01CFA">
        <w:t>Ultr</w:t>
      </w:r>
      <w:r w:rsidRPr="00D01CFA">
        <w:rPr>
          <w:bCs/>
        </w:rPr>
        <w:t>afast one-pass FASTQ data preprocessing, quality control, and deduplication using fastp</w:t>
      </w:r>
      <w:r w:rsidRPr="000335EF">
        <w:rPr>
          <w:bCs/>
        </w:rPr>
        <w:t xml:space="preserve">. </w:t>
      </w:r>
      <w:r w:rsidRPr="000335EF">
        <w:rPr>
          <w:bCs/>
          <w:i/>
        </w:rPr>
        <w:t xml:space="preserve">Imeta </w:t>
      </w:r>
      <w:r w:rsidRPr="000335EF">
        <w:rPr>
          <w:bCs/>
        </w:rPr>
        <w:t xml:space="preserve">2023, </w:t>
      </w:r>
      <w:r w:rsidRPr="00D01CFA">
        <w:rPr>
          <w:bCs/>
        </w:rPr>
        <w:t>2</w:t>
      </w:r>
      <w:r w:rsidRPr="000335EF">
        <w:rPr>
          <w:bCs/>
        </w:rPr>
        <w:t>(2):e107.</w:t>
      </w:r>
    </w:p>
    <w:p w14:paraId="5EFA3289" w14:textId="77777777" w:rsidR="00FA3A2A" w:rsidRDefault="00FA3A2A" w:rsidP="00FA3A2A">
      <w:pPr>
        <w:ind w:left="720" w:hanging="720"/>
      </w:pPr>
      <w:r w:rsidRPr="000335EF">
        <w:rPr>
          <w:bCs/>
        </w:rPr>
        <w:t>2.</w:t>
      </w:r>
      <w:r w:rsidRPr="000335EF">
        <w:rPr>
          <w:bCs/>
        </w:rPr>
        <w:tab/>
        <w:t xml:space="preserve">Cullen JN, Friedenberg SG: </w:t>
      </w:r>
      <w:r w:rsidRPr="00D01CFA">
        <w:rPr>
          <w:bCs/>
        </w:rPr>
        <w:t>Whole Animal Genome Sequencing: user-friendly, rapid, containerized pipelines for processing, variant discovery, and annotation of short-read whole genome sequencing data</w:t>
      </w:r>
      <w:r w:rsidRPr="000335EF">
        <w:rPr>
          <w:bCs/>
        </w:rPr>
        <w:t xml:space="preserve">. </w:t>
      </w:r>
      <w:r w:rsidRPr="000335EF">
        <w:rPr>
          <w:bCs/>
          <w:i/>
        </w:rPr>
        <w:t xml:space="preserve">G3 (Bethesda) </w:t>
      </w:r>
      <w:r w:rsidRPr="000335EF">
        <w:rPr>
          <w:bCs/>
        </w:rPr>
        <w:t xml:space="preserve">2023, </w:t>
      </w:r>
      <w:r w:rsidRPr="00D01CFA">
        <w:rPr>
          <w:bCs/>
        </w:rPr>
        <w:t>13</w:t>
      </w:r>
      <w:r w:rsidRPr="000335EF">
        <w:rPr>
          <w:bCs/>
        </w:rPr>
        <w:t>(8).</w:t>
      </w:r>
      <w:r>
        <w:fldChar w:fldCharType="end"/>
      </w:r>
    </w:p>
    <w:p w14:paraId="2ADB1474" w14:textId="3F7198CC" w:rsidR="00FA3A2A" w:rsidRPr="00FA3A2A" w:rsidRDefault="00FA3A2A" w:rsidP="00FA3A2A">
      <w:pPr>
        <w:spacing w:before="240" w:after="240"/>
        <w:jc w:val="both"/>
      </w:pPr>
    </w:p>
    <w:sectPr w:rsidR="00FA3A2A" w:rsidRPr="00FA3A2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2955EA62-5BB6-43F8-9176-C7D7E88A46DF}"/>
    <w:embedBold r:id="rId2" w:fontKey="{B1135805-EE46-476C-9201-CBC0DDD49E26}"/>
    <w:embedItalic r:id="rId3" w:fontKey="{224CE5FA-B530-4032-95AC-8A21197639B7}"/>
  </w:font>
  <w:font w:name="DengXian">
    <w:altName w:val="等线"/>
    <w:panose1 w:val="02010600030101010101"/>
    <w:charset w:val="86"/>
    <w:family w:val="auto"/>
    <w:pitch w:val="variable"/>
    <w:sig w:usb0="A00002BF" w:usb1="38CF7CFA" w:usb2="00000016" w:usb3="00000000" w:csb0="0004000F" w:csb1="00000000"/>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4" w:fontKey="{ED6911E8-8604-4848-BDB1-73FC4DF36210}"/>
  </w:font>
  <w:font w:name="Calibri">
    <w:panose1 w:val="020F0502020204030204"/>
    <w:charset w:val="00"/>
    <w:family w:val="swiss"/>
    <w:pitch w:val="variable"/>
    <w:sig w:usb0="E4002EFF" w:usb1="C200ACFF" w:usb2="00000009" w:usb3="00000000" w:csb0="000001FF" w:csb1="00000000"/>
    <w:embedRegular r:id="rId5" w:fontKey="{2FD4CA1E-C833-4A1F-B114-C220ED195EE3}"/>
  </w:font>
  <w:font w:name="Cambria">
    <w:panose1 w:val="02040503050406030204"/>
    <w:charset w:val="00"/>
    <w:family w:val="roman"/>
    <w:pitch w:val="variable"/>
    <w:sig w:usb0="E00006FF" w:usb1="420024FF" w:usb2="02000000" w:usb3="00000000" w:csb0="0000019F" w:csb1="00000000"/>
    <w:embedRegular r:id="rId6" w:fontKey="{0C6AAADE-725F-4FB7-8419-31477F91CE6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71D84"/>
    <w:rsid w:val="00006852"/>
    <w:rsid w:val="000264EC"/>
    <w:rsid w:val="000335EF"/>
    <w:rsid w:val="00033BFD"/>
    <w:rsid w:val="000F4A70"/>
    <w:rsid w:val="00176574"/>
    <w:rsid w:val="001C6EF6"/>
    <w:rsid w:val="002038D9"/>
    <w:rsid w:val="00226FE5"/>
    <w:rsid w:val="00264287"/>
    <w:rsid w:val="002937C3"/>
    <w:rsid w:val="0030587C"/>
    <w:rsid w:val="003536C9"/>
    <w:rsid w:val="00384F72"/>
    <w:rsid w:val="003A3254"/>
    <w:rsid w:val="003A55F6"/>
    <w:rsid w:val="003C736A"/>
    <w:rsid w:val="004118EF"/>
    <w:rsid w:val="00437951"/>
    <w:rsid w:val="00471D84"/>
    <w:rsid w:val="00510397"/>
    <w:rsid w:val="0056474F"/>
    <w:rsid w:val="00590D14"/>
    <w:rsid w:val="005C3368"/>
    <w:rsid w:val="005C4A9B"/>
    <w:rsid w:val="005D7838"/>
    <w:rsid w:val="00692E3B"/>
    <w:rsid w:val="006D5ADF"/>
    <w:rsid w:val="00742A15"/>
    <w:rsid w:val="00772922"/>
    <w:rsid w:val="007A5782"/>
    <w:rsid w:val="007D641A"/>
    <w:rsid w:val="007E7C31"/>
    <w:rsid w:val="0080405B"/>
    <w:rsid w:val="008630E7"/>
    <w:rsid w:val="008676E1"/>
    <w:rsid w:val="009A11EA"/>
    <w:rsid w:val="00B12E47"/>
    <w:rsid w:val="00B3423E"/>
    <w:rsid w:val="00B50F20"/>
    <w:rsid w:val="00C941D5"/>
    <w:rsid w:val="00CD47E1"/>
    <w:rsid w:val="00D47ED3"/>
    <w:rsid w:val="00D90344"/>
    <w:rsid w:val="00DB54B8"/>
    <w:rsid w:val="00DC3BE7"/>
    <w:rsid w:val="00E5420D"/>
    <w:rsid w:val="00E83415"/>
    <w:rsid w:val="00EF0605"/>
    <w:rsid w:val="00F4081F"/>
    <w:rsid w:val="00F55BD2"/>
    <w:rsid w:val="00FA3A2A"/>
    <w:rsid w:val="00FE4B4E"/>
    <w:rsid w:val="00FF7B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E162"/>
  <w15:docId w15:val="{E9B865A6-2D07-42C4-9F5A-BFE5E22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character" w:styleId="CommentReference">
    <w:name w:val="annotation reference"/>
    <w:uiPriority w:val="99"/>
    <w:semiHidden/>
    <w:unhideWhenUsed/>
    <w:rsid w:val="001C6EF6"/>
    <w:rPr>
      <w:sz w:val="16"/>
      <w:szCs w:val="16"/>
    </w:rPr>
  </w:style>
  <w:style w:type="paragraph" w:styleId="CommentText">
    <w:name w:val="annotation text"/>
    <w:basedOn w:val="Normal"/>
    <w:link w:val="CommentTextChar"/>
    <w:uiPriority w:val="99"/>
    <w:unhideWhenUsed/>
    <w:rsid w:val="001C6EF6"/>
    <w:pPr>
      <w:spacing w:line="240" w:lineRule="auto"/>
      <w:ind w:firstLine="720"/>
      <w:jc w:val="both"/>
    </w:pPr>
    <w:rPr>
      <w:rFonts w:ascii="Aptos" w:eastAsia="DengXian" w:hAnsi="Aptos" w:cs="Times New Roman"/>
      <w:kern w:val="2"/>
      <w:sz w:val="20"/>
      <w:szCs w:val="20"/>
      <w:lang w:val="en-IE"/>
    </w:rPr>
  </w:style>
  <w:style w:type="character" w:customStyle="1" w:styleId="CommentTextChar">
    <w:name w:val="Comment Text Char"/>
    <w:basedOn w:val="DefaultParagraphFont"/>
    <w:link w:val="CommentText"/>
    <w:uiPriority w:val="99"/>
    <w:rsid w:val="001C6EF6"/>
    <w:rPr>
      <w:rFonts w:ascii="Aptos" w:eastAsia="DengXian" w:hAnsi="Aptos" w:cs="Times New Roman"/>
      <w:kern w:val="2"/>
      <w:sz w:val="20"/>
      <w:szCs w:val="20"/>
      <w:lang w:val="en-IE"/>
    </w:rPr>
  </w:style>
  <w:style w:type="paragraph" w:customStyle="1" w:styleId="EndNoteBibliographyTitle">
    <w:name w:val="EndNote Bibliography Title"/>
    <w:basedOn w:val="Normal"/>
    <w:link w:val="EndNoteBibliographyTitleChar"/>
    <w:rsid w:val="0080405B"/>
    <w:pPr>
      <w:jc w:val="center"/>
    </w:pPr>
    <w:rPr>
      <w:noProof/>
    </w:rPr>
  </w:style>
  <w:style w:type="character" w:customStyle="1" w:styleId="EndNoteBibliographyTitleChar">
    <w:name w:val="EndNote Bibliography Title Char"/>
    <w:basedOn w:val="DefaultParagraphFont"/>
    <w:link w:val="EndNoteBibliographyTitle"/>
    <w:rsid w:val="0080405B"/>
    <w:rPr>
      <w:noProof/>
    </w:rPr>
  </w:style>
  <w:style w:type="paragraph" w:customStyle="1" w:styleId="EndNoteBibliography">
    <w:name w:val="EndNote Bibliography"/>
    <w:basedOn w:val="Normal"/>
    <w:link w:val="EndNoteBibliographyChar"/>
    <w:rsid w:val="0080405B"/>
    <w:pPr>
      <w:spacing w:line="240" w:lineRule="auto"/>
    </w:pPr>
    <w:rPr>
      <w:noProof/>
    </w:rPr>
  </w:style>
  <w:style w:type="character" w:customStyle="1" w:styleId="EndNoteBibliographyChar">
    <w:name w:val="EndNote Bibliography Char"/>
    <w:basedOn w:val="DefaultParagraphFont"/>
    <w:link w:val="EndNoteBibliography"/>
    <w:rsid w:val="0080405B"/>
    <w:rPr>
      <w:noProof/>
    </w:rPr>
  </w:style>
  <w:style w:type="paragraph" w:styleId="Revision">
    <w:name w:val="Revision"/>
    <w:hidden/>
    <w:uiPriority w:val="99"/>
    <w:semiHidden/>
    <w:rsid w:val="005D7838"/>
    <w:pPr>
      <w:spacing w:line="240" w:lineRule="auto"/>
    </w:pPr>
  </w:style>
  <w:style w:type="paragraph" w:styleId="CommentSubject">
    <w:name w:val="annotation subject"/>
    <w:basedOn w:val="CommentText"/>
    <w:next w:val="CommentText"/>
    <w:link w:val="CommentSubjectChar"/>
    <w:uiPriority w:val="99"/>
    <w:semiHidden/>
    <w:unhideWhenUsed/>
    <w:rsid w:val="00772922"/>
    <w:pPr>
      <w:ind w:firstLine="0"/>
      <w:jc w:val="left"/>
    </w:pPr>
    <w:rPr>
      <w:rFonts w:ascii="Arial" w:eastAsiaTheme="minorEastAsia" w:hAnsi="Arial" w:cs="Arial"/>
      <w:b/>
      <w:bCs/>
      <w:kern w:val="0"/>
      <w:lang w:val="en-GB"/>
    </w:rPr>
  </w:style>
  <w:style w:type="character" w:customStyle="1" w:styleId="CommentSubjectChar">
    <w:name w:val="Comment Subject Char"/>
    <w:basedOn w:val="CommentTextChar"/>
    <w:link w:val="CommentSubject"/>
    <w:uiPriority w:val="99"/>
    <w:semiHidden/>
    <w:rsid w:val="00772922"/>
    <w:rPr>
      <w:rFonts w:ascii="Aptos" w:eastAsia="DengXian" w:hAnsi="Aptos" w:cs="Times New Roman"/>
      <w:b/>
      <w:bCs/>
      <w:kern w:val="2"/>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1393</Words>
  <Characters>7944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Emmeline Hill</dc:creator>
  <cp:keywords/>
  <dc:description/>
  <cp:lastModifiedBy>Mian Feng</cp:lastModifiedBy>
  <cp:revision>11</cp:revision>
  <dcterms:created xsi:type="dcterms:W3CDTF">2026-01-29T19:00:00Z</dcterms:created>
  <dcterms:modified xsi:type="dcterms:W3CDTF">2026-05-14T09:03:00Z</dcterms:modified>
</cp:coreProperties>
</file>