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1366A">
      <w:pPr>
        <w:pStyle w:val="15"/>
        <w:ind w:firstLine="0" w:firstLineChars="0"/>
        <w:outlineLvl w:val="1"/>
        <w:rPr>
          <w:rFonts w:hint="default"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 xml:space="preserve">Supplementary </w:t>
      </w:r>
    </w:p>
    <w:p w14:paraId="59BA88A2">
      <w:pPr>
        <w:rPr>
          <w:rFonts w:ascii="Times New Roman" w:hAnsi="Times New Roman" w:eastAsia="宋体"/>
          <w:b/>
          <w:bCs/>
          <w:sz w:val="22"/>
          <w:szCs w:val="22"/>
        </w:rPr>
      </w:pPr>
    </w:p>
    <w:p w14:paraId="58DADF32">
      <w:pPr>
        <w:jc w:val="center"/>
        <w:rPr>
          <w:rFonts w:ascii="Times New Roman" w:hAnsi="Times New Roman" w:eastAsia="宋体" w:cs="Times New Roman"/>
          <w:b/>
          <w:bCs/>
          <w:sz w:val="22"/>
          <w:szCs w:val="22"/>
        </w:rPr>
      </w:pPr>
      <w:r>
        <w:rPr>
          <w:rFonts w:hint="eastAsia" w:ascii="Times New Roman" w:hAnsi="Times New Roman" w:eastAsia="宋体"/>
          <w:b/>
          <w:bCs/>
          <w:sz w:val="22"/>
          <w:szCs w:val="22"/>
        </w:rPr>
        <w:t xml:space="preserve">Table </w:t>
      </w:r>
      <w:r>
        <w:rPr>
          <w:rFonts w:ascii="Times New Roman" w:hAnsi="Times New Roman" w:eastAsia="宋体"/>
          <w:b/>
          <w:bCs/>
          <w:sz w:val="22"/>
          <w:szCs w:val="22"/>
        </w:rPr>
        <w:t xml:space="preserve">1. </w:t>
      </w:r>
      <w:r>
        <w:rPr>
          <w:rFonts w:ascii="Times New Roman" w:hAnsi="Times New Roman" w:eastAsia="宋体" w:cs="Times New Roman"/>
          <w:b/>
          <w:bCs/>
          <w:sz w:val="22"/>
          <w:szCs w:val="22"/>
        </w:rPr>
        <w:t>CT Imaging Protocol Parameters</w:t>
      </w:r>
    </w:p>
    <w:tbl>
      <w:tblPr>
        <w:tblStyle w:val="9"/>
        <w:tblW w:w="5042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2"/>
        <w:gridCol w:w="4976"/>
      </w:tblGrid>
      <w:tr w14:paraId="18AAB1E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362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D4A342">
            <w:pPr>
              <w:pStyle w:val="15"/>
              <w:spacing w:line="276" w:lineRule="auto"/>
              <w:ind w:firstLine="0" w:firstLineChars="0"/>
              <w:jc w:val="center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/>
                <w:b/>
                <w:bCs/>
                <w:sz w:val="22"/>
                <w:szCs w:val="22"/>
              </w:rPr>
              <w:t>项目</w:t>
            </w:r>
          </w:p>
        </w:tc>
        <w:tc>
          <w:tcPr>
            <w:tcW w:w="497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880167">
            <w:pPr>
              <w:pStyle w:val="15"/>
              <w:spacing w:line="276" w:lineRule="auto"/>
              <w:ind w:firstLine="0" w:firstLineChars="0"/>
              <w:jc w:val="center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/>
                <w:b/>
                <w:bCs/>
                <w:sz w:val="22"/>
                <w:szCs w:val="22"/>
              </w:rPr>
              <w:t>参数</w:t>
            </w:r>
          </w:p>
        </w:tc>
      </w:tr>
      <w:tr w14:paraId="43009A5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362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768F9A">
            <w:pPr>
              <w:pStyle w:val="15"/>
              <w:spacing w:line="276" w:lineRule="auto"/>
              <w:ind w:firstLine="0" w:firstLineChars="0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/>
                <w:bCs/>
                <w:sz w:val="22"/>
                <w:szCs w:val="22"/>
              </w:rPr>
              <w:t>Tube Voltage (kVp)</w:t>
            </w:r>
          </w:p>
        </w:tc>
        <w:tc>
          <w:tcPr>
            <w:tcW w:w="49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6FEDBF">
            <w:pPr>
              <w:pStyle w:val="15"/>
              <w:spacing w:line="276" w:lineRule="auto"/>
              <w:ind w:firstLine="0" w:firstLineChars="0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/>
                <w:bCs/>
                <w:sz w:val="22"/>
                <w:szCs w:val="22"/>
              </w:rPr>
              <w:t>140(96%); 120 (4%);</w:t>
            </w:r>
          </w:p>
        </w:tc>
      </w:tr>
      <w:tr w14:paraId="396D3CA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3622" w:type="dxa"/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2CFEC7">
            <w:pPr>
              <w:pStyle w:val="15"/>
              <w:spacing w:line="276" w:lineRule="auto"/>
              <w:ind w:firstLine="0" w:firstLineChars="0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/>
                <w:bCs/>
                <w:sz w:val="22"/>
                <w:szCs w:val="22"/>
              </w:rPr>
              <w:t>Tube Current (mA)</w:t>
            </w:r>
          </w:p>
        </w:tc>
        <w:tc>
          <w:tcPr>
            <w:tcW w:w="4975" w:type="dxa"/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36DA9B">
            <w:pPr>
              <w:pStyle w:val="15"/>
              <w:spacing w:line="276" w:lineRule="auto"/>
              <w:ind w:firstLine="0" w:firstLineChars="0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/>
                <w:bCs/>
                <w:sz w:val="22"/>
                <w:szCs w:val="22"/>
              </w:rPr>
              <w:t>203 (55.4%); 154 (37.5%); Unknown (7.1%);</w:t>
            </w:r>
          </w:p>
        </w:tc>
      </w:tr>
      <w:tr w14:paraId="4A93809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3622" w:type="dxa"/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BBE1E7">
            <w:pPr>
              <w:pStyle w:val="15"/>
              <w:spacing w:line="276" w:lineRule="auto"/>
              <w:ind w:firstLine="0" w:firstLineChars="0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/>
                <w:bCs/>
                <w:sz w:val="22"/>
                <w:szCs w:val="22"/>
              </w:rPr>
              <w:t>Slice Thickness (mm)</w:t>
            </w:r>
          </w:p>
        </w:tc>
        <w:tc>
          <w:tcPr>
            <w:tcW w:w="4975" w:type="dxa"/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D62698">
            <w:pPr>
              <w:pStyle w:val="15"/>
              <w:spacing w:line="276" w:lineRule="auto"/>
              <w:ind w:firstLine="0" w:firstLineChars="0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/>
                <w:bCs/>
                <w:sz w:val="22"/>
                <w:szCs w:val="22"/>
              </w:rPr>
              <w:t>3</w:t>
            </w:r>
          </w:p>
        </w:tc>
      </w:tr>
      <w:tr w14:paraId="2936D83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3622" w:type="dxa"/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B905F0">
            <w:pPr>
              <w:pStyle w:val="15"/>
              <w:spacing w:line="276" w:lineRule="auto"/>
              <w:ind w:firstLine="0" w:firstLineChars="0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/>
                <w:bCs/>
                <w:sz w:val="22"/>
                <w:szCs w:val="22"/>
              </w:rPr>
              <w:t>CT Manufacturer</w:t>
            </w:r>
          </w:p>
        </w:tc>
        <w:tc>
          <w:tcPr>
            <w:tcW w:w="4975" w:type="dxa"/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257CF0">
            <w:pPr>
              <w:pStyle w:val="15"/>
              <w:spacing w:line="276" w:lineRule="auto"/>
              <w:ind w:firstLine="0" w:firstLineChars="0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/>
                <w:bCs/>
                <w:sz w:val="22"/>
                <w:szCs w:val="22"/>
              </w:rPr>
              <w:t>Philips (60.2%); SIEMENS (39.8%);</w:t>
            </w:r>
          </w:p>
        </w:tc>
      </w:tr>
      <w:tr w14:paraId="2E9DF7C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36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122F7E">
            <w:pPr>
              <w:pStyle w:val="15"/>
              <w:spacing w:line="276" w:lineRule="auto"/>
              <w:ind w:firstLine="0" w:firstLineChars="0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/>
                <w:bCs/>
                <w:sz w:val="22"/>
                <w:szCs w:val="22"/>
              </w:rPr>
              <w:t>Model Name</w:t>
            </w:r>
          </w:p>
        </w:tc>
        <w:tc>
          <w:tcPr>
            <w:tcW w:w="49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B4C95E">
            <w:pPr>
              <w:pStyle w:val="15"/>
              <w:spacing w:line="276" w:lineRule="auto"/>
              <w:ind w:firstLine="0" w:firstLineChars="0"/>
              <w:rPr>
                <w:rFonts w:hint="default" w:ascii="Times New Roman" w:hAnsi="Times New Roman" w:eastAsia="宋体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/>
                <w:bCs/>
                <w:sz w:val="22"/>
                <w:szCs w:val="22"/>
              </w:rPr>
              <w:t xml:space="preserve">Brilliance Big Bore; SOMATOM Definition AS; </w:t>
            </w:r>
          </w:p>
        </w:tc>
      </w:tr>
    </w:tbl>
    <w:p w14:paraId="653C6880">
      <w:pPr>
        <w:rPr>
          <w:sz w:val="22"/>
          <w:szCs w:val="22"/>
        </w:rPr>
      </w:pPr>
    </w:p>
    <w:p w14:paraId="2D8039E7">
      <w:pPr>
        <w:rPr>
          <w:sz w:val="22"/>
          <w:szCs w:val="22"/>
        </w:rPr>
      </w:pPr>
    </w:p>
    <w:p w14:paraId="6F05577B">
      <w:pPr>
        <w:rPr>
          <w:sz w:val="22"/>
          <w:szCs w:val="22"/>
        </w:rPr>
      </w:pPr>
    </w:p>
    <w:p w14:paraId="1F5432F2">
      <w:pPr>
        <w:rPr>
          <w:rFonts w:ascii="Times New Roman" w:hAnsi="Times New Roman" w:eastAsia="宋体" w:cs="Times New Roman"/>
          <w:sz w:val="22"/>
          <w:szCs w:val="22"/>
        </w:rPr>
      </w:pPr>
    </w:p>
    <w:p w14:paraId="21578D65">
      <w:pPr>
        <w:jc w:val="center"/>
        <w:rPr>
          <w:rFonts w:ascii="Times New Roman" w:hAnsi="Times New Roman" w:eastAsia="宋体" w:cs="Times New Roman"/>
          <w:b/>
          <w:bCs/>
          <w:sz w:val="22"/>
          <w:szCs w:val="22"/>
        </w:rPr>
      </w:pPr>
      <w:r>
        <w:rPr>
          <w:rFonts w:hint="eastAsia" w:ascii="Times New Roman" w:hAnsi="Times New Roman" w:eastAsia="宋体"/>
          <w:b/>
          <w:bCs/>
          <w:sz w:val="22"/>
          <w:szCs w:val="22"/>
        </w:rPr>
        <w:t>Table 2</w:t>
      </w:r>
      <w:r>
        <w:rPr>
          <w:rFonts w:ascii="Times New Roman" w:hAnsi="Times New Roman" w:eastAsia="宋体"/>
          <w:b/>
          <w:bCs/>
          <w:sz w:val="22"/>
          <w:szCs w:val="22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</w:rPr>
        <w:t>MR</w:t>
      </w:r>
      <w:r>
        <w:rPr>
          <w:rFonts w:ascii="Times New Roman" w:hAnsi="Times New Roman" w:eastAsia="宋体" w:cs="Times New Roman"/>
          <w:b/>
          <w:bCs/>
          <w:sz w:val="22"/>
          <w:szCs w:val="22"/>
        </w:rPr>
        <w:t xml:space="preserve"> Imaging Protocol Parameters</w:t>
      </w:r>
    </w:p>
    <w:tbl>
      <w:tblPr>
        <w:tblStyle w:val="9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344"/>
        <w:gridCol w:w="981"/>
        <w:gridCol w:w="2178"/>
        <w:gridCol w:w="1081"/>
        <w:gridCol w:w="1839"/>
      </w:tblGrid>
      <w:tr w14:paraId="37B13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7B1367F">
            <w:pPr>
              <w:pStyle w:val="2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2"/>
                <w:szCs w:val="22"/>
              </w:rPr>
              <w:t>Sequence</w:t>
            </w:r>
          </w:p>
        </w:tc>
        <w:tc>
          <w:tcPr>
            <w:tcW w:w="82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B13680">
            <w:pPr>
              <w:pStyle w:val="2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2"/>
                <w:szCs w:val="22"/>
              </w:rPr>
              <w:t>PS (mm)</w:t>
            </w:r>
          </w:p>
        </w:tc>
        <w:tc>
          <w:tcPr>
            <w:tcW w:w="45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B13681">
            <w:pPr>
              <w:pStyle w:val="2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2"/>
                <w:szCs w:val="22"/>
              </w:rPr>
              <w:t>TE (ms)</w:t>
            </w:r>
          </w:p>
        </w:tc>
        <w:tc>
          <w:tcPr>
            <w:tcW w:w="130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B13682">
            <w:pPr>
              <w:pStyle w:val="2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2"/>
                <w:szCs w:val="22"/>
              </w:rPr>
              <w:t>FOV (mm)</w:t>
            </w:r>
          </w:p>
        </w:tc>
        <w:tc>
          <w:tcPr>
            <w:tcW w:w="6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B13683">
            <w:pPr>
              <w:pStyle w:val="2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2"/>
                <w:szCs w:val="22"/>
              </w:rPr>
              <w:t>FA (o)</w:t>
            </w:r>
          </w:p>
        </w:tc>
        <w:tc>
          <w:tcPr>
            <w:tcW w:w="110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B13684">
            <w:pPr>
              <w:pStyle w:val="2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2"/>
                <w:szCs w:val="22"/>
              </w:rPr>
              <w:t>ST (mm)</w:t>
            </w:r>
          </w:p>
        </w:tc>
      </w:tr>
      <w:tr w14:paraId="37B13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86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T1</w:t>
            </w:r>
          </w:p>
        </w:tc>
        <w:tc>
          <w:tcPr>
            <w:tcW w:w="82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87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0.50</w:t>
            </w:r>
            <m:oMath>
              <m:r>
                <m:rPr>
                  <m:sty m:val="p"/>
                </m:rPr>
                <w:rPr>
                  <w:rFonts w:hint="eastAsia" w:ascii="Times New Roman" w:hAnsi="Times New Roman"/>
                  <w:color w:val="000000"/>
                  <w:sz w:val="22"/>
                  <w:szCs w:val="22"/>
                </w:rPr>
                <m:t>±</m:t>
              </m:r>
            </m:oMath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45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88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7-14</w:t>
            </w:r>
          </w:p>
        </w:tc>
        <w:tc>
          <w:tcPr>
            <w:tcW w:w="130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89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200×220-280×280</w:t>
            </w:r>
          </w:p>
        </w:tc>
        <w:tc>
          <w:tcPr>
            <w:tcW w:w="6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8A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80-150</w:t>
            </w:r>
          </w:p>
        </w:tc>
        <w:tc>
          <w:tcPr>
            <w:tcW w:w="110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8B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4.5-6.5</w:t>
            </w:r>
          </w:p>
        </w:tc>
      </w:tr>
      <w:tr w14:paraId="37B13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8D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T1C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8E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0.52</w:t>
            </w:r>
            <m:oMath>
              <m:r>
                <m:rPr>
                  <m:sty m:val="p"/>
                </m:rPr>
                <w:rPr>
                  <w:rFonts w:hint="eastAsia" w:ascii="Times New Roman" w:hAnsi="Times New Roman"/>
                  <w:color w:val="000000"/>
                  <w:sz w:val="22"/>
                  <w:szCs w:val="22"/>
                </w:rPr>
                <m:t>±</m:t>
              </m:r>
            </m:oMath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8F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2-22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90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200×200-280×280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91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75-150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13692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4.5-6.5</w:t>
            </w:r>
          </w:p>
        </w:tc>
      </w:tr>
      <w:tr w14:paraId="37B13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7B13694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T2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7B13695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0.51</w:t>
            </w:r>
            <m:oMath>
              <m:r>
                <m:rPr>
                  <m:sty m:val="p"/>
                </m:rPr>
                <w:rPr>
                  <w:rFonts w:hint="eastAsia" w:ascii="Times New Roman" w:hAnsi="Times New Roman"/>
                  <w:color w:val="000000"/>
                  <w:sz w:val="22"/>
                  <w:szCs w:val="22"/>
                </w:rPr>
                <m:t>±</m:t>
              </m:r>
            </m:oMath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7B13696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80-125</w:t>
            </w:r>
          </w:p>
        </w:tc>
        <w:tc>
          <w:tcPr>
            <w:tcW w:w="13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7B13697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200×220-280×280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7B13698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90-150</w:t>
            </w:r>
          </w:p>
        </w:tc>
        <w:tc>
          <w:tcPr>
            <w:tcW w:w="110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7B13699">
            <w:pPr>
              <w:pStyle w:val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2"/>
                <w:szCs w:val="22"/>
              </w:rPr>
              <w:t>4.5-6.5</w:t>
            </w:r>
          </w:p>
        </w:tc>
      </w:tr>
    </w:tbl>
    <w:p w14:paraId="37B1369B">
      <w:pPr>
        <w:rPr>
          <w:rFonts w:ascii="Times New Roman" w:hAnsi="Times New Roman" w:eastAsia="宋体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PS, pixel spacing; TE, echo time; FOV, field of view; FA, flip angle; ST, slice thickness; T1, T1-weighted sequence; T2, T2-weighted sequence; T1C, T1-weighted contrast-enhanced sequence.</w:t>
      </w:r>
      <w:r>
        <w:rPr>
          <w:rFonts w:hint="eastAsia" w:ascii="Times New Roman" w:hAnsi="Times New Roman"/>
          <w:sz w:val="22"/>
          <w:szCs w:val="22"/>
        </w:rPr>
        <w:t xml:space="preserve"> T1C: </w:t>
      </w:r>
      <w:r>
        <w:rPr>
          <w:rFonts w:ascii="Times New Roman" w:hAnsi="Times New Roman"/>
          <w:sz w:val="22"/>
          <w:szCs w:val="22"/>
        </w:rPr>
        <w:t>Approximately 40 seconds after intravenous injection of 0.1 mmol/kg Gd-DTPA, enhanced T1-weighted images in the transverse and sagittal axes were obtained.</w:t>
      </w:r>
    </w:p>
    <w:p w14:paraId="37B1369C">
      <w:pPr>
        <w:widowControl/>
        <w:jc w:val="left"/>
        <w:rPr>
          <w:rFonts w:hAnsi="Cambria Math" w:cs="Times New Roman"/>
          <w:sz w:val="22"/>
          <w:szCs w:val="22"/>
        </w:rPr>
      </w:pPr>
    </w:p>
    <w:p w14:paraId="23077239">
      <w:pPr>
        <w:rPr>
          <w:rFonts w:hAnsi="Cambria Math" w:cs="Times New Roman"/>
          <w:sz w:val="22"/>
          <w:szCs w:val="22"/>
        </w:rPr>
      </w:pPr>
    </w:p>
    <w:p w14:paraId="37B1369D">
      <w:pPr>
        <w:pStyle w:val="1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sz w:val="22"/>
          <w:szCs w:val="22"/>
        </w:rPr>
        <w:t>Table3.  Radiomics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f</w:t>
      </w:r>
      <w:r>
        <w:rPr>
          <w:rFonts w:ascii="Times New Roman" w:hAnsi="Times New Roman" w:cs="Times New Roman"/>
          <w:sz w:val="22"/>
          <w:szCs w:val="22"/>
        </w:rPr>
        <w:t xml:space="preserve">eature </w:t>
      </w:r>
      <w:r>
        <w:rPr>
          <w:rFonts w:hint="eastAsia"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xtractor</w:t>
      </w:r>
      <w:r>
        <w:rPr>
          <w:rFonts w:hint="eastAsia" w:ascii="Times New Roman" w:hAnsi="Times New Roman" w:cs="Times New Roman"/>
          <w:sz w:val="22"/>
          <w:szCs w:val="22"/>
        </w:rPr>
        <w:t xml:space="preserve"> setting</w:t>
      </w:r>
    </w:p>
    <w:p w14:paraId="37B1369E">
      <w:pPr>
        <w:rPr>
          <w:rFonts w:ascii="Times New Roman" w:hAnsi="Times New Roman" w:eastAsia="宋体" w:cs="Times New Roman"/>
          <w:sz w:val="22"/>
          <w:szCs w:val="22"/>
        </w:rPr>
      </w:pPr>
      <w:r>
        <w:rPr>
          <w:rFonts w:ascii="Times New Roman" w:hAnsi="Times New Roman" w:eastAsia="宋体" w:cs="Times New Roman"/>
          <w:sz w:val="22"/>
          <w:szCs w:val="22"/>
        </w:rPr>
        <w:t>Radiomic features were extracted using the PyRadiomics library (version 3.1.0). The extraction was performed on the gross tumor volume (GTV) regions for each imaging modality (T1WI, T2WI, T1WI+C, and CT). The following feature classes were extracted</w:t>
      </w:r>
      <w:r>
        <w:rPr>
          <w:rFonts w:hint="eastAsia" w:ascii="Times New Roman" w:hAnsi="Times New Roman" w:eastAsia="宋体" w:cs="Times New Roman"/>
          <w:sz w:val="22"/>
          <w:szCs w:val="22"/>
        </w:rPr>
        <w:t>: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0"/>
      </w:tblGrid>
      <w:tr w14:paraId="37B13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37B1369F">
            <w:pPr>
              <w:pStyle w:val="2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imageType</w:t>
            </w:r>
          </w:p>
        </w:tc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7B136A0">
            <w:pPr>
              <w:pStyle w:val="2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featureClass</w:t>
            </w:r>
          </w:p>
        </w:tc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7B136A1">
            <w:pPr>
              <w:pStyle w:val="2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setting</w:t>
            </w:r>
          </w:p>
        </w:tc>
      </w:tr>
      <w:tr w14:paraId="37B13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7B136A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Original:</w:t>
            </w:r>
          </w:p>
          <w:p w14:paraId="37B136A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LoG:sigma: [3.0,5.0]</w:t>
            </w:r>
          </w:p>
          <w:p w14:paraId="37B136A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Wavelet: {}</w:t>
            </w:r>
          </w:p>
          <w:p w14:paraId="37B136A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Gradient: {}</w:t>
            </w:r>
          </w:p>
          <w:p w14:paraId="37B136A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SquareRoot: {}</w:t>
            </w:r>
          </w:p>
          <w:p w14:paraId="37B136A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Logarithm: {}</w:t>
            </w:r>
          </w:p>
          <w:p w14:paraId="37B136A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Exponential: {}</w:t>
            </w:r>
          </w:p>
          <w:p w14:paraId="37B136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Square: {}</w:t>
            </w:r>
          </w:p>
        </w:tc>
        <w:tc>
          <w:tcPr>
            <w:tcW w:w="2840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7B136A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shape</w:t>
            </w:r>
          </w:p>
          <w:p w14:paraId="37B136A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firstorder</w:t>
            </w:r>
          </w:p>
          <w:p w14:paraId="37B136A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glcm</w:t>
            </w:r>
          </w:p>
          <w:p w14:paraId="37B136A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glrlm</w:t>
            </w:r>
          </w:p>
          <w:p w14:paraId="37B136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glszm</w:t>
            </w:r>
          </w:p>
          <w:p w14:paraId="37B136B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gldm</w:t>
            </w:r>
          </w:p>
          <w:p w14:paraId="37B136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ngtdm</w:t>
            </w:r>
          </w:p>
        </w:tc>
        <w:tc>
          <w:tcPr>
            <w:tcW w:w="2840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7B136B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interpolator: 'sitkBSpline'</w:t>
            </w:r>
          </w:p>
          <w:p w14:paraId="37B136B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resampledPixelSpacing: [1, 1, 1]</w:t>
            </w:r>
          </w:p>
          <w:p w14:paraId="37B136B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binWidth: 25</w:t>
            </w:r>
          </w:p>
          <w:p w14:paraId="37B136B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voxelArrayShift: 300</w:t>
            </w:r>
          </w:p>
          <w:p w14:paraId="37B136B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label: 1</w:t>
            </w:r>
          </w:p>
          <w:p w14:paraId="37B136B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additionalInfo: false</w:t>
            </w:r>
          </w:p>
        </w:tc>
      </w:tr>
    </w:tbl>
    <w:p w14:paraId="37B136B9">
      <w:pPr>
        <w:rPr>
          <w:rFonts w:hAnsi="Cambria Math" w:cs="Times New Roman"/>
          <w:sz w:val="22"/>
          <w:szCs w:val="22"/>
        </w:rPr>
      </w:pPr>
    </w:p>
    <w:p w14:paraId="1F0EE0E5">
      <w:pPr>
        <w:widowControl/>
        <w:jc w:val="left"/>
        <w:rPr>
          <w:rFonts w:hAnsi="Cambria Math" w:cs="Times New Roman"/>
          <w:sz w:val="22"/>
          <w:szCs w:val="22"/>
        </w:rPr>
      </w:pPr>
    </w:p>
    <w:p w14:paraId="754815A0">
      <w:pPr>
        <w:widowControl/>
        <w:jc w:val="left"/>
        <w:rPr>
          <w:rFonts w:hAnsi="Cambria Math" w:cs="Times New Roman"/>
          <w:sz w:val="22"/>
          <w:szCs w:val="22"/>
        </w:rPr>
      </w:pPr>
    </w:p>
    <w:p w14:paraId="120425FE">
      <w:pPr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 4. Features Selected from Multimodal Data</w:t>
      </w:r>
    </w:p>
    <w:tbl>
      <w:tblPr>
        <w:tblStyle w:val="9"/>
        <w:tblW w:w="5000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6951"/>
      </w:tblGrid>
      <w:tr w14:paraId="73A01CD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65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323D84">
            <w:pPr>
              <w:widowControl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Modal</w:t>
            </w:r>
          </w:p>
        </w:tc>
        <w:tc>
          <w:tcPr>
            <w:tcW w:w="735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6ECC4A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Features</w:t>
            </w:r>
          </w:p>
        </w:tc>
      </w:tr>
      <w:tr w14:paraId="0FD33EA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65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7EEB12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CT</w:t>
            </w:r>
          </w:p>
        </w:tc>
        <w:tc>
          <w:tcPr>
            <w:tcW w:w="73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0D0DB3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avelet-LHL_ngtdm_Busyness,wavelet-HHL_glszm_LargeAreaHighGrayLevelEmphasis,square_firstorder_RootMeanSquared,log-sigma-3-0-mm-3D_gldm_GrayLevelNonUniformity,square_firstorder_Kurtosis,log-sigma-3-0-mm-3D_glrlm_RunVariance,wavelet-LLL_glcm_Imc1,logarithm_firstorder_90Percentile,wavelet-HHH_glrlm_HighGrayLevelRunEmphasis,wavelet-LLL_firstorder_Variance,wavelet-HHH_glrlm_GrayLevelVariance,log-sigma-5-0-mm-3D_glszm_SizeZoneNonUniformity,logarithm_firstorder_Kurtosis,log-sigma-3-0-mm-3D_glcm_ClusterProminence,wavelet-LHL_glrlm_RunEntropy,gradient_firstorder_RobustMeanAbsoluteDeviation,wavelet-LHL_glrlm_LongRunHighGrayLevelEmphasis,original_firstorder_Variance,wavelet-LLH_firstorder_Maximum,wavelet-LHH_glcm_SumAverage,wavelet-HLL_glszm_SmallAreaEmphasis,wavelet-LHL_firstorder_Kurtosis,log-sigma-5-0-mm-3D_glcm_JointEnergy,log-sigma-5-0-mm-3D_glszm_LargeAreaLowGrayLevelEmphasis,log-sigma-3-0-mm-3D_glszm_ZoneEntropy,log-sigma-5-0-mm-3D_firstorder_Variance,wavelet-LLL_glszm_LargeAreaLowGrayLevelEmphasis,wavelet-HHL_glcm_JointAverage,squareroot_firstorder_MeanAbsoluteDeviation,wavelet-LHH_firstorder_Mean</w:t>
            </w:r>
          </w:p>
        </w:tc>
      </w:tr>
      <w:tr w14:paraId="7001AF4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186AF6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MR</w:t>
            </w:r>
          </w:p>
        </w:tc>
        <w:tc>
          <w:tcPr>
            <w:tcW w:w="7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CC2704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-sigma-3-0-mm-3D_glszm_ZonePercentage_T1,log-sigma-5-0-mm-3D_glcm_ClusterTendency_T1,wavelet-HHH_firstorder_InterquartileRange_T1,log-sigma-3-0-mm-3D_glcm_ClusterTendency_T1,squareroot_firstorder_Kurtosis_T1,wavelet-LLL_glrlm_ShortRunHighGrayLevelEmphasis_T1,original_firstorder_Minimum_T1,wavelet-LHL_glcm_Autocorrelation_T1,wavelet-LHL_glszm_ZoneEntropy_T1,wavelet-HHH_glcm_DifferenceVariance_T1,wavelet-HHL_glrlm_ShortRunHighGrayLevelEmphasis_T1,gradient_firstorder_MeanAbsoluteDeviation_T1,wavelet-LHH_gldm_SmallDependenceHighGrayLevelEmphasis_T1,wavelet-LHL_glcm_Imc1_T1,log-sigma-5-0-mm-3D_firstorder_Median_T1,wavelet-LHL_firstorder_Skewness_T1,wavelet-LHH_glcm_SumSquares_T1,log-sigma-3-0-mm-3D_glcm_MaximumProbability_T1,wavelet-LHL_glszm_SmallAreaLowGrayLevelEmphasis_T1,wavelet-LLH_firstorder_MeanAbsoluteDeviation_T1,log-sigma-5-0-mm-3D_gldm_DependenceVariance_T1,gradient_firstorder_Minimum_T1,wavelet-HHL_glszm_SmallAreaEmphasis_T1,log-sigma-5-0-mm-3D_glszm_GrayLevelVariance_T1,wavelet-HLL_glszm_ZonePercentage_T1,original_shape_Flatness_T1,wavelet-HLH_glcm_JointEntropy_T1,wavelet-LHL_firstorder_RootMeanSquared_T1,wavelet-HLL_glcm_Autocorrelation_T1,logarithm_firstorder_MeanAbsoluteDeviation_T1,squareroot_firstorder_Skewness_T1C,wavelet-LHL_firstorder_Minimum_T1C,gradient_firstorder_RobustMeanAbsoluteDeviation_T1C,log-sigma-3-0-mm-3D_glcm_ClusterProminence_T1C,wavelet-LHH_gldm_LargeDependenceEmphasis_T1C,squareroot_firstorder_Kurtosis_T1C,wavelet-HLL_glszm_SizeZoneNonUniformityNormalized_T1C,wavelet-HHL_glrlm_LongRunEmphasis_T1C,logarithm_firstorder_Skewness_T1C,wavelet-HLH_glszm_GrayLevelNonUniformity_T1C,gradient_firstorder_MeanAbsoluteDeviation_T1C,wavelet-LHH_glcm_Idmn_T1C,log-sigma-3-0-mm-3D_glrlm_GrayLevelVariance_T1C,wavelet-HHH_firstorder_Variance_T1C,wavelet-LHL_glszm_ZoneEntropy_T1C,wavelet-LHH_firstorder_10Percentile_T1C,squareroot_firstorder_Minimum_T1C,wavelet-HHH_firstorder_InterquartileRange_T1C,wavelet-LHL_firstorder_Skewness_T1C,wavelet-HLH_glszm_GrayLevelVariance_T1C,log-sigma-5-0-mm-3D_glrlm_RunLengthNonUniformity_T1C,wavelet-LLL_glszm_GrayLevelNonUniformityNormalized_T1C,wavelet-LHL_glcm_Autocorrelation_T1C,wavelet-LHL_glcm_ClusterProminence_T1C,wavelet-HLH_glcm_MCC_T1C,log-sigma-3-0-mm-3D_glszm_SmallAreaEmphasis_T1C,wavelet-LLL_glrlm_ShortRunEmphasis_T1C,log-sigma-3-0-mm-3D_glszm_LargeAreaLowGrayLevelEmphasis_T1C,wavelet-HHL_gldm_LargeDependenceEmphasis_T1C,wavelet-LHL_glszm_SizeZoneNonUniformityNormalized_T1C,squareroot_glrlm_ShortRunHighGrayLevelEmphasis_T2,log-sigma-3-0-mm-3D_glcm_JointEntropy_T2,wavelet-HHH_glrlm_LongRunEmphasis_T2,wavelet-HLL_ngtdm_Complexity_T2,wavelet-LLH_glcm_ClusterTendency_T2,wavelet-LLL_glrlm_ShortRunEmphasis_T2,wavelet-LHL_glszm_SizeZoneNonUniformityNormalized_T2,wavelet-LHL_gldm_SmallDependenceHighGrayLevelEmphasis_T2,wavelet-HHL_firstorder_Kurtosis_T2,wavelet-LHH_firstorder_RootMeanSquared_T2,wavelet-HHL_firstorder_Variance_T2,wavelet-LHH_glszm_SmallAreaLowGrayLevelEmphasis_T2,wavelet-HLH_glrlm_ShortRunHighGrayLevelEmphasis_T2,log-sigma-5-0-mm-3D_glrlm_RunPercentage_T2,log-sigma-3-0-mm-3D_firstorder_10Percentile_T2,log-sigma-3-0-mm-3D_glcm_SumSquares_T2,wavelet-LHH_glszm_GrayLevelVariance_T2,wavelet-HLL_firstorder_Skewness_T2,squareroot_firstorder_Minimum_T2,log-sigma-3-0-mm-3D_firstorder_90Percentile_T2,wavelet-LLH_ngtdm_Contrast_T2,log-sigma-5-0-mm-3D_glrlm_ShortRunLowGrayLevelEmphasis_T2,wavelet-HHL_glszm_SizeZoneNonUniformityNormalized_T2,wavelet-LHH_firstorder_RobustMeanAbsoluteDeviation_T2,wavelet-HHL_glcm_SumSquares_T2,wavelet-HLL_glcm_Imc2_T2,log-sigma-5-0-mm-3D_glrlm_RunVariance_T2,wavelet-LHL_firstorder_Range_T2,gradient_gldm_LargeDependenceEmphasis_T2,log-sigma-5-0-mm-3D_glszm_SizeZoneNonUniformityNormalized_T2</w:t>
            </w:r>
          </w:p>
        </w:tc>
      </w:tr>
      <w:tr w14:paraId="325EE8F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6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AEF791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Dose</w:t>
            </w:r>
          </w:p>
        </w:tc>
        <w:tc>
          <w:tcPr>
            <w:tcW w:w="73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5C1A04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xial_172,coronal_307,sagittal_161,axial_373,sagittal_104,coronal_447,axial_94,axial_468,axial_129,coronal_55,axial_80,axial_37,sagittal_48,sagittal_17,sagittal_46,axial_19,axial_220,sagittal_320,axial_142,sagittal_15,axial_484,axial_25,axial_354,coronal_394,axial_448,axial_48,axial_478,sagittal_213,axial_161,axial_134</w:t>
            </w:r>
          </w:p>
        </w:tc>
      </w:tr>
    </w:tbl>
    <w:p w14:paraId="2D4F402E">
      <w:pPr>
        <w:widowControl/>
        <w:jc w:val="left"/>
        <w:rPr>
          <w:rFonts w:hAnsi="Cambria Math" w:cs="Times New Roman"/>
          <w:sz w:val="22"/>
          <w:szCs w:val="22"/>
        </w:rPr>
      </w:pPr>
    </w:p>
    <w:p w14:paraId="37B136BA">
      <w:pPr>
        <w:widowControl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hAnsi="Cambria Math" w:cs="Times New Roman"/>
          <w:sz w:val="22"/>
          <w:szCs w:val="22"/>
        </w:rPr>
        <w:br w:type="page"/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Supplementary A: </w:t>
      </w:r>
      <w:r>
        <w:rPr>
          <w:rFonts w:ascii="Times New Roman" w:hAnsi="Times New Roman" w:cs="Times New Roman"/>
          <w:b/>
          <w:bCs/>
          <w:sz w:val="22"/>
          <w:szCs w:val="22"/>
        </w:rPr>
        <w:t>Dose Feature Extractor</w:t>
      </w:r>
    </w:p>
    <w:p w14:paraId="37B136BB">
      <w:pPr>
        <w:spacing w:line="360" w:lineRule="auto"/>
        <w:rPr>
          <w:rFonts w:ascii="Times New Roman" w:hAnsi="Times New Roman" w:eastAsia="楷体" w:cs="Times New Roman"/>
          <w:sz w:val="22"/>
          <w:szCs w:val="22"/>
        </w:rPr>
      </w:pPr>
      <w:r>
        <w:rPr>
          <w:rFonts w:ascii="Times New Roman" w:hAnsi="Times New Roman" w:eastAsia="楷体" w:cs="Times New Roman"/>
          <w:sz w:val="22"/>
          <w:szCs w:val="22"/>
        </w:rPr>
        <w:t xml:space="preserve">Let </w:t>
      </w:r>
      <m:oMath>
        <m:r>
          <m:rPr>
            <m:nor/>
            <m:sty m:val="p"/>
          </m:rPr>
          <w:rPr>
            <w:rFonts w:ascii="Times New Roman" w:hAnsi="Times New Roman" w:cs="Times New Roman"/>
            <w:sz w:val="22"/>
            <w:szCs w:val="22"/>
          </w:rPr>
          <m:t>p∈P</m:t>
        </m:r>
      </m:oMath>
      <w:r>
        <w:rPr>
          <w:rFonts w:ascii="Times New Roman" w:hAnsi="Times New Roman" w:eastAsia="楷体" w:cs="Times New Roman"/>
          <w:sz w:val="22"/>
          <w:szCs w:val="22"/>
        </w:rPr>
        <w:t xml:space="preserve"> denote a patient</w:t>
      </w:r>
      <w:r>
        <w:rPr>
          <w:rStyle w:val="14"/>
          <w:rFonts w:hint="default" w:ascii="Times New Roman" w:hAnsi="Times New Roman" w:cs="Times New Roman"/>
          <w:sz w:val="22"/>
          <w:szCs w:val="22"/>
        </w:rPr>
        <w:t>，</w:t>
      </w:r>
      <w:r>
        <w:rPr>
          <w:rFonts w:ascii="Times New Roman" w:hAnsi="Times New Roman" w:eastAsia="楷体" w:cs="Times New Roman"/>
          <w:sz w:val="22"/>
          <w:szCs w:val="22"/>
        </w:rPr>
        <w:t xml:space="preserve">and the corresponding multi-view dose distribution </w:t>
      </w:r>
      <w:r>
        <w:rPr>
          <w:rFonts w:ascii="Times New Roman" w:hAnsi="Times New Roman" w:cs="Times New Roman"/>
          <w:sz w:val="22"/>
          <w:szCs w:val="22"/>
        </w:rPr>
        <w:t xml:space="preserve">maps </w:t>
      </w:r>
      <w:r>
        <w:rPr>
          <w:rFonts w:ascii="Times New Roman" w:hAnsi="Times New Roman" w:eastAsia="楷体" w:cs="Times New Roman"/>
          <w:sz w:val="22"/>
          <w:szCs w:val="22"/>
        </w:rPr>
        <w:t>be defined as</w:t>
      </w:r>
    </w:p>
    <w:p w14:paraId="37B136B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X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</m:sSub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={</m:t>
          </m:r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X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axial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,</m:t>
          </m:r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X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sagittal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,</m:t>
          </m:r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X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coronal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}</m:t>
          </m:r>
        </m:oMath>
      </m:oMathPara>
    </w:p>
    <w:p w14:paraId="37B136BD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楷体" w:cs="Times New Roman"/>
          <w:sz w:val="22"/>
          <w:szCs w:val="22"/>
        </w:rPr>
        <w:t xml:space="preserve">where </w:t>
      </w:r>
      <m:oMath>
        <m:sSubSup>
          <m:sSub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bSup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2"/>
                <w:szCs w:val="22"/>
              </w:rPr>
              <m:t>X</m:t>
            </m:r>
            <m:ctrlPr>
              <w:rPr>
                <w:rFonts w:ascii="Cambria Math" w:hAnsi="Cambria Math" w:cs="Times New Roman"/>
                <w:sz w:val="22"/>
                <w:szCs w:val="22"/>
              </w:rPr>
            </m:ctrlP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2"/>
                <w:szCs w:val="22"/>
              </w:rPr>
              <m:t>p</m:t>
            </m:r>
            <m:ctrlPr>
              <w:rPr>
                <w:rFonts w:ascii="Cambria Math" w:hAnsi="Cambria Math" w:cs="Times New Roman"/>
                <w:sz w:val="22"/>
                <w:szCs w:val="22"/>
              </w:rPr>
            </m:ctrlPr>
          </m:sub>
          <m:sup>
            <m:r>
              <m:rPr>
                <m:nor/>
              </m:rPr>
              <w:rPr>
                <w:rFonts w:ascii="Times New Roman" w:hAnsi="Times New Roman" w:cs="Times New Roman"/>
                <w:i/>
                <w:sz w:val="22"/>
                <w:szCs w:val="22"/>
              </w:rPr>
              <m:t>v</m:t>
            </m:r>
            <m:ctrlPr>
              <w:rPr>
                <w:rFonts w:ascii="Cambria Math" w:hAnsi="Cambria Math" w:cs="Times New Roman"/>
                <w:sz w:val="22"/>
                <w:szCs w:val="22"/>
              </w:rPr>
            </m:ctrlPr>
          </m:sup>
        </m:sSubSup>
        <m:r>
          <m:rPr>
            <m:nor/>
            <m:sty m:val="p"/>
          </m:rPr>
          <w:rPr>
            <w:rFonts w:ascii="Times New Roman" w:hAnsi="Times New Roman" w:cs="Times New Roman"/>
            <w:sz w:val="22"/>
            <w:szCs w:val="22"/>
          </w:rPr>
          <m:t>∈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nor/>
                <m:sty m:val="p"/>
              </m:rPr>
              <w:rPr>
                <w:rFonts w:ascii="Times New Roman" w:hAnsi="Times New Roman" w:eastAsia="MS Mincho" w:cs="MS Mincho"/>
                <w:sz w:val="22"/>
                <w:szCs w:val="22"/>
              </w:rPr>
              <m:t>R</m:t>
            </m:r>
            <m:ctrlPr>
              <w:rPr>
                <w:rFonts w:ascii="Cambria Math" w:hAnsi="Cambria Math" w:cs="Times New Roman"/>
                <w:sz w:val="22"/>
                <w:szCs w:val="22"/>
              </w:rPr>
            </m:ctrlPr>
          </m:e>
          <m:sup>
            <m:sSub>
              <m:sSubPr>
                <m:ctrlPr>
                  <w:rPr>
                    <w:rFonts w:ascii="Cambria Math" w:hAnsi="Cambria Math" w:cs="Times New Roman"/>
                    <w:sz w:val="22"/>
                    <w:szCs w:val="22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2"/>
                    <w:szCs w:val="22"/>
                  </w:rPr>
                  <m:t>N</m:t>
                </m:r>
                <m:ctrlPr>
                  <w:rPr>
                    <w:rFonts w:ascii="Cambria Math" w:hAnsi="Cambria Math" w:cs="Times New Roman"/>
                    <w:sz w:val="22"/>
                    <w:szCs w:val="22"/>
                  </w:rPr>
                </m:ctrlP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2"/>
                    <w:szCs w:val="22"/>
                  </w:rPr>
                  <m:t>v</m:t>
                </m:r>
                <m:ctrlPr>
                  <w:rPr>
                    <w:rFonts w:ascii="Cambria Math" w:hAnsi="Cambria Math" w:cs="Times New Roman"/>
                    <w:sz w:val="22"/>
                    <w:szCs w:val="22"/>
                  </w:rPr>
                </m:ctrlPr>
              </m:sub>
            </m:sSub>
            <m:r>
              <m:rPr>
                <m:nor/>
                <m:sty m:val="p"/>
              </m:rPr>
              <w:rPr>
                <w:rFonts w:ascii="Times New Roman" w:hAnsi="Times New Roman" w:cs="Times New Roman"/>
                <w:sz w:val="22"/>
                <w:szCs w:val="22"/>
              </w:rPr>
              <m:t>×</m:t>
            </m:r>
            <m:r>
              <m:rPr>
                <m:nor/>
              </m:rPr>
              <w:rPr>
                <w:rFonts w:ascii="Times New Roman" w:hAnsi="Times New Roman" w:cs="Times New Roman"/>
                <w:i/>
                <w:sz w:val="22"/>
                <w:szCs w:val="22"/>
              </w:rPr>
              <m:t>C</m:t>
            </m:r>
            <m:r>
              <m:rPr>
                <m:nor/>
                <m:sty m:val="p"/>
              </m:rPr>
              <w:rPr>
                <w:rFonts w:ascii="Times New Roman" w:hAnsi="Times New Roman" w:cs="Times New Roman"/>
                <w:sz w:val="22"/>
                <w:szCs w:val="22"/>
              </w:rPr>
              <m:t>×</m:t>
            </m:r>
            <m:r>
              <m:rPr>
                <m:nor/>
              </m:rPr>
              <w:rPr>
                <w:rFonts w:ascii="Times New Roman" w:hAnsi="Times New Roman" w:cs="Times New Roman"/>
                <w:i/>
                <w:sz w:val="22"/>
                <w:szCs w:val="22"/>
              </w:rPr>
              <m:t>H</m:t>
            </m:r>
            <m:r>
              <m:rPr>
                <m:nor/>
                <m:sty m:val="p"/>
              </m:rPr>
              <w:rPr>
                <w:rFonts w:ascii="Times New Roman" w:hAnsi="Times New Roman" w:cs="Times New Roman"/>
                <w:sz w:val="22"/>
                <w:szCs w:val="22"/>
              </w:rPr>
              <m:t>×</m:t>
            </m:r>
            <m:r>
              <m:rPr>
                <m:nor/>
              </m:rPr>
              <w:rPr>
                <w:rFonts w:ascii="Times New Roman" w:hAnsi="Times New Roman" w:cs="Times New Roman"/>
                <w:i/>
                <w:sz w:val="22"/>
                <w:szCs w:val="22"/>
              </w:rPr>
              <m:t>W</m:t>
            </m:r>
            <m:ctrlPr>
              <w:rPr>
                <w:rFonts w:ascii="Cambria Math" w:hAnsi="Cambria Math" w:cs="Times New Roman"/>
                <w:sz w:val="22"/>
                <w:szCs w:val="22"/>
              </w:rPr>
            </m:ctrlPr>
          </m:sup>
        </m:sSup>
      </m:oMath>
      <w:r>
        <w:rPr>
          <w:rStyle w:val="14"/>
          <w:rFonts w:hint="default"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eastAsia="楷体" w:cs="Times New Roman"/>
          <w:sz w:val="22"/>
          <w:szCs w:val="22"/>
        </w:rPr>
        <w:t xml:space="preserve">represents the slice sequence from view </w:t>
      </w:r>
      <m:oMath>
        <m:r>
          <m:rPr>
            <m:nor/>
          </m:rPr>
          <w:rPr>
            <w:rFonts w:ascii="Times New Roman" w:hAnsi="Times New Roman" w:cs="Times New Roman"/>
            <w:i/>
            <w:sz w:val="22"/>
            <w:szCs w:val="22"/>
          </w:rPr>
          <m:t>v</m:t>
        </m:r>
        <m:r>
          <m:rPr>
            <m:nor/>
            <m:sty m:val="p"/>
          </m:rPr>
          <w:rPr>
            <w:rFonts w:ascii="Times New Roman" w:hAnsi="Times New Roman" w:cs="Times New Roman"/>
            <w:sz w:val="22"/>
            <w:szCs w:val="22"/>
          </w:rPr>
          <m:t>∈{axial,sagittal,coronal}</m:t>
        </m:r>
      </m:oMath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7B136BE">
      <w:pPr>
        <w:pStyle w:val="15"/>
        <w:ind w:firstLine="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Here, </w:t>
      </w:r>
      <m:oMath>
        <m:sSub>
          <m:sSubP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N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v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ub>
        </m:sSub>
      </m:oMath>
      <w:r>
        <w:rPr>
          <w:rFonts w:hint="default" w:ascii="Times New Roman" w:hAnsi="Times New Roman" w:cs="Times New Roman"/>
          <w:sz w:val="22"/>
          <w:szCs w:val="22"/>
        </w:rPr>
        <w:t xml:space="preserve"> denotes the number of slices, </w:t>
      </w:r>
      <w:r>
        <w:rPr>
          <w:rStyle w:val="14"/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</w:rPr>
        <w:t xml:space="preserve"> is the number of channels, and </w:t>
      </w:r>
      <w:r>
        <w:rPr>
          <w:rStyle w:val="14"/>
          <w:rFonts w:hint="default" w:ascii="Times New Roman" w:hAnsi="Times New Roman" w:cs="Times New Roman"/>
          <w:sz w:val="22"/>
          <w:szCs w:val="22"/>
        </w:rPr>
        <w:t xml:space="preserve">H,W </w:t>
      </w:r>
      <w:r>
        <w:rPr>
          <w:rFonts w:hint="default" w:ascii="Times New Roman" w:hAnsi="Times New Roman" w:cs="Times New Roman"/>
          <w:sz w:val="22"/>
          <w:szCs w:val="22"/>
        </w:rPr>
        <w:t>are the spatial dimensions.</w:t>
      </w:r>
      <w:r>
        <w:rPr>
          <w:rFonts w:hint="default" w:ascii="Times New Roman" w:hAnsi="Times New Roman" w:eastAsia="宋体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Since the dose distribution maps are single-channel grayscale images, each slice was replicated across three channels to match the input requirements of the ResNet-18 backbone (C=3).</w:t>
      </w:r>
    </w:p>
    <w:p w14:paraId="37B136BF">
      <w:pPr>
        <w:pStyle w:val="16"/>
        <w:spacing w:before="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Step 1. Feature extraction </w:t>
      </w:r>
    </w:p>
    <w:p w14:paraId="37B136C0">
      <w:pPr>
        <w:pStyle w:val="15"/>
        <w:ind w:firstLine="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Each slice is processed by a pre-trained ResNet-18 feature extractor (with the average pooling and fully connected layers removed), yielding</w:t>
      </w:r>
    </w:p>
    <w:p w14:paraId="37B136C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f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,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i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v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=ϕ(</m:t>
          </m:r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X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,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i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v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)∈</m:t>
          </m:r>
          <m:sSup>
            <m:s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pPr>
            <m:e>
              <m:r>
                <m:rPr>
                  <m:nor/>
                  <m:sty m:val="p"/>
                </m:rPr>
                <w:rPr>
                  <w:rFonts w:ascii="Times New Roman" w:hAnsi="Times New Roman" w:eastAsia="MS Mincho" w:cs="MS Mincho"/>
                  <w:sz w:val="22"/>
                  <w:szCs w:val="22"/>
                </w:rPr>
                <m:t>R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512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i/>
              <w:sz w:val="22"/>
              <w:szCs w:val="22"/>
            </w:rPr>
            <m:t>i</m:t>
          </m:r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=1,…,</m:t>
          </m:r>
          <m:sSub>
            <m:sSub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N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v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</m:sSub>
        </m:oMath>
      </m:oMathPara>
    </w:p>
    <w:p w14:paraId="37B136C2">
      <w:pPr>
        <w:pStyle w:val="15"/>
        <w:ind w:firstLine="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where </w:t>
      </w:r>
      <m:oMath>
        <m:sSubSup>
          <m:sSubSupP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X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p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sz w:val="22"/>
                <w:szCs w:val="22"/>
              </w:rPr>
              <m:t>,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i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ub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v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up>
        </m:sSubSup>
      </m:oMath>
      <w:r>
        <w:rPr>
          <w:rFonts w:hint="default" w:ascii="Times New Roman" w:hAnsi="Times New Roman" w:cs="Times New Roman"/>
          <w:sz w:val="22"/>
          <w:szCs w:val="22"/>
        </w:rPr>
        <w:t xml:space="preserve"> denotes the i-th slice of patient p in view </w:t>
      </w:r>
      <m:oMath>
        <m:r>
          <m:rPr>
            <m:nor/>
          </m:rPr>
          <w:rPr>
            <w:rFonts w:hint="default" w:ascii="Times New Roman" w:hAnsi="Times New Roman" w:cs="Times New Roman"/>
            <w:i/>
            <w:sz w:val="22"/>
            <w:szCs w:val="22"/>
          </w:rPr>
          <m:t>v</m:t>
        </m:r>
        <m:r>
          <m:rPr>
            <m:nor/>
            <m:sty m:val="p"/>
          </m:rPr>
          <w:rPr>
            <w:rFonts w:hint="default" w:ascii="Times New Roman" w:hAnsi="Times New Roman" w:cs="Times New Roman"/>
            <w:sz w:val="22"/>
            <w:szCs w:val="22"/>
          </w:rPr>
          <m:t>∈{axial,sagittal,coronal}</m:t>
        </m:r>
      </m:oMath>
      <w:r>
        <w:rPr>
          <w:rFonts w:hint="default" w:ascii="Times New Roman" w:hAnsi="Times New Roman" w:cs="Times New Roman"/>
          <w:sz w:val="22"/>
          <w:szCs w:val="22"/>
        </w:rPr>
        <w:t xml:space="preserve"> ,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sz w:val="22"/>
            <w:szCs w:val="22"/>
          </w:rPr>
          <m:t>ϕ(·)</m:t>
        </m:r>
      </m:oMath>
      <w:r>
        <w:rPr>
          <w:rFonts w:hint="default" w:ascii="Times New Roman" w:hAnsi="Times New Roman" w:cs="Times New Roman"/>
          <w:sz w:val="22"/>
          <w:szCs w:val="22"/>
        </w:rPr>
        <w:t xml:space="preserve"> represents the CNN backbone mapping, and the output is a 512-dimensional deep feature vector.</w:t>
      </w:r>
    </w:p>
    <w:p w14:paraId="37B136C3">
      <w:pPr>
        <w:pStyle w:val="16"/>
        <w:spacing w:before="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Step 2. Slice-level pooling (Global Average Pooling across slices).</w:t>
      </w:r>
    </w:p>
    <w:p w14:paraId="37B136C4">
      <w:pPr>
        <w:pStyle w:val="15"/>
        <w:ind w:firstLine="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slice-level features for each view are averaged along the slice dimension:</w:t>
      </w:r>
    </w:p>
    <w:p w14:paraId="37B136C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ba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f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e>
              </m:ba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v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1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N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v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den>
          </m:f>
          <m:nary>
            <m:naryPr>
              <m:chr m:val="∑"/>
              <m:grow m:val="1"/>
              <m:limLoc m:val="undOvr"/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i</m:t>
              </m:r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=1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N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v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f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p</m:t>
                  </m:r>
                  <m:r>
                    <m:rPr>
                      <m:nor/>
                      <m:sty m:val="p"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,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i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v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sup>
              </m:sSubSup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</m:nary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=</m:t>
          </m:r>
          <m:r>
            <m:rPr>
              <m:nor/>
            </m:rPr>
            <w:rPr>
              <w:rFonts w:ascii="Times New Roman" w:hAnsi="Times New Roman" w:cs="Times New Roman"/>
              <w:i/>
              <w:sz w:val="22"/>
              <w:szCs w:val="22"/>
            </w:rPr>
            <m:t>GAP</m:t>
          </m:r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(</m:t>
          </m:r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ba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f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e>
              </m:ba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,1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v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,</m:t>
          </m:r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ba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f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e>
              </m:ba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,2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v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,…,</m:t>
          </m:r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ba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f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e>
              </m:ba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N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v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v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),</m:t>
          </m:r>
          <m:r>
            <m:rPr>
              <m:nor/>
            </m:rPr>
            <w:rPr>
              <w:rFonts w:ascii="Times New Roman" w:hAnsi="Times New Roman" w:cs="Times New Roman"/>
              <w:i/>
              <w:sz w:val="22"/>
              <w:szCs w:val="22"/>
            </w:rPr>
            <m:t>v</m:t>
          </m:r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∈{axial,sagittal,coronal}</m:t>
          </m:r>
        </m:oMath>
      </m:oMathPara>
    </w:p>
    <w:p w14:paraId="37B136C6">
      <w:pPr>
        <w:pStyle w:val="15"/>
        <w:ind w:firstLine="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where </w:t>
      </w:r>
      <m:oMath>
        <m:sSub>
          <m:sSubP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N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v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ub>
        </m:sSub>
      </m:oMath>
      <w:r>
        <w:rPr>
          <w:rFonts w:hint="default" w:ascii="Times New Roman" w:hAnsi="Times New Roman" w:eastAsia="MS Gothic" w:cs="Times New Roman"/>
          <w:sz w:val="22"/>
          <w:szCs w:val="22"/>
        </w:rPr>
        <w:t>​</w:t>
      </w:r>
      <w:r>
        <w:rPr>
          <w:rFonts w:hint="default" w:ascii="Times New Roman" w:hAnsi="Times New Roman" w:cs="Times New Roman"/>
          <w:sz w:val="22"/>
          <w:szCs w:val="22"/>
        </w:rPr>
        <w:t xml:space="preserve"> denotes the number of slices in view v,</w:t>
      </w:r>
      <w:r>
        <w:rPr>
          <w:rFonts w:hint="default" w:ascii="Times New Roman" w:hAnsi="Times New Roman" w:eastAsia="宋体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and the overline </w:t>
      </w:r>
      <m:oMath>
        <m:bar>
          <m:barPr>
            <m:pos m:val="top"/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bar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f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e>
        </m:bar>
      </m:oMath>
      <w:r>
        <w:rPr>
          <w:rFonts w:hint="default" w:ascii="Times New Roman" w:hAnsi="Times New Roman" w:cs="Times New Roman"/>
          <w:sz w:val="22"/>
          <w:szCs w:val="22"/>
        </w:rPr>
        <w:t xml:space="preserve"> denotes the mean feature vector obtained by averaging across slices.</w:t>
      </w:r>
      <w:r>
        <w:rPr>
          <w:rFonts w:hint="default" w:ascii="Times New Roman" w:hAnsi="Times New Roman" w:eastAsia="宋体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This yields one global representation </w:t>
      </w:r>
      <m:oMath>
        <m:sSubSup>
          <m:sSubSupP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f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p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sz w:val="22"/>
                <w:szCs w:val="22"/>
              </w:rPr>
              <m:t>,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i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ub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v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up>
        </m:sSubSup>
        <m:r>
          <m:rPr>
            <m:nor/>
            <m:sty m:val="p"/>
          </m:rPr>
          <w:rPr>
            <w:rFonts w:hint="default" w:ascii="Times New Roman" w:hAnsi="Times New Roman" w:cs="Times New Roman"/>
            <w:sz w:val="22"/>
            <w:szCs w:val="22"/>
          </w:rPr>
          <m:t>∈</m:t>
        </m:r>
        <m:sSup>
          <m:sSupP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eastAsia="MS Mincho" w:cs="MS Mincho"/>
                <w:sz w:val="22"/>
                <w:szCs w:val="22"/>
              </w:rPr>
              <m:t>R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sz w:val="22"/>
                <w:szCs w:val="22"/>
              </w:rPr>
              <m:t>512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up>
        </m:sSup>
      </m:oMath>
      <w:r>
        <w:rPr>
          <w:rFonts w:hint="default" w:ascii="Times New Roman" w:hAnsi="Times New Roman" w:cs="Times New Roman"/>
          <w:sz w:val="22"/>
          <w:szCs w:val="22"/>
        </w:rPr>
        <w:t xml:space="preserve"> for each view.</w:t>
      </w:r>
    </w:p>
    <w:p w14:paraId="37B136C7">
      <w:pPr>
        <w:pStyle w:val="16"/>
        <w:spacing w:before="0" w:line="360" w:lineRule="auto"/>
        <w:rPr>
          <w:rStyle w:val="14"/>
          <w:rFonts w:hint="default"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Step 3. Multi-view feature fusion </w:t>
      </w:r>
      <w:r>
        <w:rPr>
          <w:rFonts w:ascii="Times New Roman" w:hAnsi="Times New Roman"/>
          <w:sz w:val="22"/>
          <w:szCs w:val="22"/>
        </w:rPr>
        <w:br w:type="textWrapping"/>
      </w:r>
      <w:r>
        <w:rPr>
          <w:rStyle w:val="14"/>
          <w:rFonts w:hint="default" w:ascii="Times New Roman" w:hAnsi="Times New Roman"/>
          <w:b w:val="0"/>
          <w:bCs w:val="0"/>
          <w:sz w:val="22"/>
          <w:szCs w:val="22"/>
        </w:rPr>
        <w:t>The patient-level representation is obtained by concatenating the three view-specific features:</w:t>
      </w:r>
    </w:p>
    <w:p w14:paraId="37B136C8">
      <w:pPr>
        <w:spacing w:line="360" w:lineRule="auto"/>
        <w:ind w:left="440" w:hanging="440" w:hangingChars="200"/>
        <w:rPr>
          <w:rFonts w:ascii="Times New Roman" w:hAnsi="Times New Roman" w:eastAsia="楷体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F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</m:sSub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=[</m:t>
          </m:r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ba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f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e>
              </m:ba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axial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∥</m:t>
          </m:r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ba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f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e>
              </m:ba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sagittal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∥</m:t>
          </m:r>
          <m:sSubSup>
            <m:sSub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ba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f</m:t>
                  </m: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e>
              </m:ba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coronal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bSup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]∈</m:t>
          </m:r>
          <m:sSup>
            <m:s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pPr>
            <m:e>
              <m:r>
                <m:rPr>
                  <m:nor/>
                  <m:sty m:val="p"/>
                </m:rPr>
                <w:rPr>
                  <w:rFonts w:ascii="Times New Roman" w:hAnsi="Times New Roman" w:eastAsia="MS Mincho" w:cs="MS Mincho"/>
                  <w:sz w:val="22"/>
                  <w:szCs w:val="22"/>
                </w:rPr>
                <m:t>R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1536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p>
        </m:oMath>
      </m:oMathPara>
    </w:p>
    <w:p w14:paraId="37B136C9">
      <w:pPr>
        <w:spacing w:line="360" w:lineRule="auto"/>
        <w:ind w:left="440" w:hanging="440" w:hangingChars="200"/>
        <w:rPr>
          <w:rStyle w:val="17"/>
          <w:rFonts w:ascii="Times New Roman" w:hAnsi="Times New Roman"/>
          <w:sz w:val="22"/>
          <w:szCs w:val="22"/>
        </w:rPr>
      </w:pPr>
      <w:r>
        <w:rPr>
          <w:rStyle w:val="14"/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ascii="Times New Roman" w:hAnsi="Times New Roman" w:eastAsia="楷体" w:cs="Times New Roman"/>
          <w:b/>
          <w:bCs/>
          <w:sz w:val="22"/>
          <w:szCs w:val="22"/>
        </w:rPr>
        <w:t xml:space="preserve"> </w:t>
      </w:r>
      <m:oMath>
        <m:r>
          <m:rPr>
            <m:nor/>
            <m:sty m:val="p"/>
          </m:rPr>
          <w:rPr>
            <w:rFonts w:ascii="Times New Roman" w:hAnsi="Times New Roman" w:cs="Times New Roman"/>
            <w:sz w:val="22"/>
            <w:szCs w:val="22"/>
          </w:rPr>
          <m:t>∥</m:t>
        </m:r>
      </m:oMath>
      <w:r>
        <w:rPr>
          <w:rFonts w:ascii="Times New Roman" w:hAnsi="Times New Roman" w:eastAsia="楷体" w:cs="Times New Roman"/>
          <w:sz w:val="22"/>
          <w:szCs w:val="22"/>
        </w:rPr>
        <w:t xml:space="preserve"> </w:t>
      </w:r>
      <w:r>
        <w:rPr>
          <w:rStyle w:val="14"/>
          <w:rFonts w:hint="default" w:ascii="Times New Roman" w:hAnsi="Times New Roman" w:cs="Times New Roman"/>
          <w:sz w:val="22"/>
          <w:szCs w:val="22"/>
        </w:rPr>
        <w:t>denotes vector concatenation.</w:t>
      </w:r>
    </w:p>
    <w:p w14:paraId="37B136CA">
      <w:pPr>
        <w:pStyle w:val="16"/>
        <w:spacing w:before="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Step 4. Feature matrix construction</w:t>
      </w:r>
    </w:p>
    <w:p w14:paraId="37B136CB">
      <w:pPr>
        <w:spacing w:line="360" w:lineRule="auto"/>
        <w:ind w:left="440" w:hanging="440" w:hangingChars="200"/>
        <w:rPr>
          <w:rStyle w:val="14"/>
          <w:rFonts w:hint="default" w:ascii="Times New Roman" w:hAnsi="Times New Roman" w:eastAsia="宋体" w:cs="Times New Roman"/>
          <w:sz w:val="22"/>
          <w:szCs w:val="22"/>
        </w:rPr>
      </w:pPr>
      <w:r>
        <w:rPr>
          <w:rStyle w:val="14"/>
          <w:rFonts w:hint="default" w:ascii="Times New Roman" w:hAnsi="Times New Roman" w:cs="Times New Roman"/>
          <w:sz w:val="22"/>
          <w:szCs w:val="22"/>
        </w:rPr>
        <w:t>The feature set for all patients is constructed as</w:t>
      </w:r>
    </w:p>
    <w:p w14:paraId="37B136C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m:oMathPara>
        <m:oMath>
          <m:r>
            <m:rPr>
              <m:nor/>
              <m:sty m:val="p"/>
            </m:rPr>
            <w:rPr>
              <w:rFonts w:ascii="Times New Roman" w:hAnsi="Times New Roman" w:eastAsia="MS Mincho" w:cs="MS Mincho"/>
              <w:sz w:val="22"/>
              <w:szCs w:val="22"/>
            </w:rPr>
            <m:t>F={(</m:t>
          </m:r>
          <m:sSub>
            <m:sSub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F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</m:sSub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label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</m:sSub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pid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2"/>
                  <w:szCs w:val="22"/>
                </w:rPr>
                <m:t>p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b>
          </m:sSub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)∣</m:t>
          </m:r>
          <m:r>
            <m:rPr>
              <m:nor/>
            </m:rPr>
            <w:rPr>
              <w:rFonts w:ascii="Times New Roman" w:hAnsi="Times New Roman" w:cs="Times New Roman"/>
              <w:i/>
              <w:sz w:val="22"/>
              <w:szCs w:val="22"/>
            </w:rPr>
            <m:t>p</m:t>
          </m:r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∈</m:t>
          </m:r>
          <m:r>
            <m:rPr>
              <m:nor/>
            </m:rPr>
            <w:rPr>
              <w:rFonts w:ascii="Times New Roman" w:hAnsi="Times New Roman" w:eastAsia="MS Mincho" w:cs="MS Mincho"/>
              <w:i/>
              <w:sz w:val="22"/>
              <w:szCs w:val="22"/>
            </w:rPr>
            <m:t>P</m:t>
          </m:r>
          <m:r>
            <m:rPr>
              <m:nor/>
              <m:sty m:val="p"/>
            </m:rPr>
            <w:rPr>
              <w:rFonts w:ascii="Times New Roman" w:hAnsi="Times New Roman" w:eastAsia="MS Mincho" w:cs="MS Mincho"/>
              <w:sz w:val="22"/>
              <w:szCs w:val="22"/>
            </w:rPr>
            <m:t>}</m:t>
          </m:r>
        </m:oMath>
      </m:oMathPara>
    </w:p>
    <w:p w14:paraId="37B136CD">
      <w:pPr>
        <w:pStyle w:val="15"/>
        <w:ind w:firstLine="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where </w:t>
      </w:r>
      <m:oMath>
        <m:sSub>
          <m:sSubP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label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p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ub>
        </m:sSub>
      </m:oMath>
      <w:r>
        <w:rPr>
          <w:rFonts w:hint="default" w:ascii="Times New Roman" w:hAnsi="Times New Roman" w:eastAsia="宋体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denotes the ground-truth label and，</w:t>
      </w:r>
      <m:oMath>
        <m:sSub>
          <m:sSubP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Sub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sz w:val="22"/>
                <w:szCs w:val="22"/>
              </w:rPr>
              <m:t>pid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sz w:val="22"/>
                <w:szCs w:val="22"/>
              </w:rPr>
              <m:t>p</m:t>
            </m:r>
            <m:ctrlPr>
              <w:rPr>
                <w:rFonts w:hint="default" w:ascii="Cambria Math" w:hAnsi="Cambria Math" w:cs="Times New Roman"/>
                <w:sz w:val="22"/>
                <w:szCs w:val="22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sz w:val="22"/>
            <w:szCs w:val="22"/>
          </w:rPr>
          <m:t xml:space="preserve"> </m:t>
        </m:r>
      </m:oMath>
      <w:r>
        <w:rPr>
          <w:rFonts w:hint="default" w:ascii="Times New Roman" w:hAnsi="Times New Roman" w:cs="Times New Roman"/>
          <w:sz w:val="22"/>
          <w:szCs w:val="22"/>
        </w:rPr>
        <w:t>is the unique patient identifier。The final patient-level feature matrix is thus</w:t>
      </w:r>
    </w:p>
    <w:p w14:paraId="37B136CE">
      <w:pPr>
        <w:spacing w:line="360" w:lineRule="auto"/>
        <w:rPr>
          <w:rFonts w:hAnsi="Cambria Math" w:cs="Times New Roman"/>
          <w:sz w:val="22"/>
          <w:szCs w:val="22"/>
        </w:rPr>
      </w:pPr>
      <m:oMathPara>
        <m:oMath>
          <m:r>
            <m:rPr>
              <m:nor/>
              <m:sty m:val="b"/>
            </m:rPr>
            <w:rPr>
              <w:rFonts w:ascii="Times New Roman" w:hAnsi="Times New Roman" w:cs="Times New Roman"/>
              <w:b/>
              <w:sz w:val="22"/>
              <w:szCs w:val="22"/>
            </w:rPr>
            <m:t>F</m:t>
          </m:r>
          <m:r>
            <m:rPr>
              <m:nor/>
              <m:sty m:val="p"/>
            </m:rPr>
            <w:rPr>
              <w:rFonts w:ascii="Times New Roman" w:hAnsi="Times New Roman" w:cs="Times New Roman"/>
              <w:sz w:val="22"/>
              <w:szCs w:val="22"/>
            </w:rPr>
            <m:t>∈</m:t>
          </m:r>
          <m:sSup>
            <m:sSupP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SupPr>
            <m:e>
              <m:r>
                <m:rPr>
                  <m:nor/>
                  <m:sty m:val="p"/>
                </m:rPr>
                <w:rPr>
                  <w:rFonts w:ascii="Times New Roman" w:hAnsi="Times New Roman" w:eastAsia="MS Mincho" w:cs="MS Mincho"/>
                  <w:sz w:val="22"/>
                  <w:szCs w:val="22"/>
                </w:rPr>
                <m:t>R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ascii="Times New Roman" w:hAnsi="Times New Roman" w:eastAsia="MS Mincho" w:cs="MS Mincho"/>
                  <w:sz w:val="22"/>
                  <w:szCs w:val="22"/>
                </w:rPr>
                <m:t>|</m:t>
              </m:r>
              <m:r>
                <m:rPr>
                  <m:nor/>
                </m:rPr>
                <w:rPr>
                  <w:rFonts w:ascii="Times New Roman" w:hAnsi="Times New Roman" w:eastAsia="MS Mincho" w:cs="MS Mincho"/>
                  <w:i/>
                  <w:sz w:val="22"/>
                  <w:szCs w:val="22"/>
                </w:rPr>
                <m:t>P</m:t>
              </m:r>
              <m:r>
                <m:rPr>
                  <m:nor/>
                  <m:sty m:val="p"/>
                </m:rPr>
                <w:rPr>
                  <w:rFonts w:ascii="Times New Roman" w:hAnsi="Times New Roman" w:cs="Times New Roman"/>
                  <w:sz w:val="22"/>
                  <w:szCs w:val="22"/>
                </w:rPr>
                <m:t>|×1536</m:t>
              </m:r>
              <m:ctrlPr>
                <w:rPr>
                  <w:rFonts w:ascii="Cambria Math" w:hAnsi="Cambria Math" w:cs="Times New Roman"/>
                  <w:sz w:val="22"/>
                  <w:szCs w:val="22"/>
                </w:rPr>
              </m:ctrlPr>
            </m:sup>
          </m:sSup>
        </m:oMath>
      </m:oMathPara>
    </w:p>
    <w:p w14:paraId="37B136CF">
      <w:pPr>
        <w:rPr>
          <w:rFonts w:hAnsi="Cambria Math" w:cs="Times New Roman"/>
          <w:sz w:val="22"/>
          <w:szCs w:val="22"/>
        </w:rPr>
      </w:pPr>
    </w:p>
    <w:p w14:paraId="37B136D0">
      <w:pPr>
        <w:rPr>
          <w:rFonts w:hAnsi="Cambria Math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CC"/>
    <w:rsid w:val="00000E27"/>
    <w:rsid w:val="001511E1"/>
    <w:rsid w:val="00163A0C"/>
    <w:rsid w:val="003203C9"/>
    <w:rsid w:val="00364868"/>
    <w:rsid w:val="003837BA"/>
    <w:rsid w:val="00515E5E"/>
    <w:rsid w:val="005355E9"/>
    <w:rsid w:val="00553462"/>
    <w:rsid w:val="006C449E"/>
    <w:rsid w:val="00805529"/>
    <w:rsid w:val="008110CC"/>
    <w:rsid w:val="00887474"/>
    <w:rsid w:val="008F2A51"/>
    <w:rsid w:val="00922A40"/>
    <w:rsid w:val="00944460"/>
    <w:rsid w:val="009E2E16"/>
    <w:rsid w:val="009E65F0"/>
    <w:rsid w:val="00AC66B6"/>
    <w:rsid w:val="00BE1807"/>
    <w:rsid w:val="00CB4B67"/>
    <w:rsid w:val="00F21C2C"/>
    <w:rsid w:val="00F9559D"/>
    <w:rsid w:val="075C5614"/>
    <w:rsid w:val="0CF85983"/>
    <w:rsid w:val="0F5B7401"/>
    <w:rsid w:val="107C2883"/>
    <w:rsid w:val="12732BB7"/>
    <w:rsid w:val="181956D3"/>
    <w:rsid w:val="18752381"/>
    <w:rsid w:val="19405C1B"/>
    <w:rsid w:val="1C671E4E"/>
    <w:rsid w:val="23EC5E3E"/>
    <w:rsid w:val="2A984DE7"/>
    <w:rsid w:val="2E8E7EF9"/>
    <w:rsid w:val="36F74CD2"/>
    <w:rsid w:val="3C3D31AB"/>
    <w:rsid w:val="49362BA4"/>
    <w:rsid w:val="53863A7F"/>
    <w:rsid w:val="554A5196"/>
    <w:rsid w:val="59796D7A"/>
    <w:rsid w:val="59D165E0"/>
    <w:rsid w:val="62A82750"/>
    <w:rsid w:val="6F845F6F"/>
    <w:rsid w:val="774336A0"/>
    <w:rsid w:val="7EAF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5">
    <w:name w:val="heading 8"/>
    <w:basedOn w:val="1"/>
    <w:next w:val="1"/>
    <w:link w:val="18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22"/>
    <w:uiPriority w:val="0"/>
    <w:pPr>
      <w:tabs>
        <w:tab w:val="center" w:pos="4153"/>
        <w:tab w:val="right" w:pos="8306"/>
      </w:tabs>
    </w:pPr>
  </w:style>
  <w:style w:type="paragraph" w:styleId="7">
    <w:name w:val="header"/>
    <w:basedOn w:val="1"/>
    <w:link w:val="21"/>
    <w:qFormat/>
    <w:uiPriority w:val="0"/>
    <w:pPr>
      <w:tabs>
        <w:tab w:val="center" w:pos="4153"/>
        <w:tab w:val="right" w:pos="8306"/>
      </w:tabs>
    </w:pPr>
  </w:style>
  <w:style w:type="paragraph" w:styleId="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论文小标题"/>
    <w:basedOn w:val="4"/>
    <w:link w:val="19"/>
    <w:qFormat/>
    <w:uiPriority w:val="0"/>
    <w:pPr>
      <w:spacing w:before="0" w:after="0" w:line="360" w:lineRule="auto"/>
      <w:outlineLvl w:val="1"/>
    </w:pPr>
    <w:rPr>
      <w:rFonts w:eastAsia="楷体"/>
      <w:bCs w:val="0"/>
    </w:rPr>
  </w:style>
  <w:style w:type="character" w:customStyle="1" w:styleId="14">
    <w:name w:val="论文正文 Char"/>
    <w:link w:val="15"/>
    <w:qFormat/>
    <w:uiPriority w:val="0"/>
    <w:rPr>
      <w:rFonts w:hint="eastAsia" w:eastAsia="楷体"/>
    </w:rPr>
  </w:style>
  <w:style w:type="paragraph" w:customStyle="1" w:styleId="15">
    <w:name w:val="论文正文"/>
    <w:basedOn w:val="1"/>
    <w:link w:val="14"/>
    <w:qFormat/>
    <w:uiPriority w:val="0"/>
    <w:pPr>
      <w:spacing w:line="360" w:lineRule="auto"/>
      <w:ind w:firstLine="883" w:firstLineChars="200"/>
      <w:jc w:val="left"/>
    </w:pPr>
    <w:rPr>
      <w:rFonts w:hint="eastAsia" w:eastAsia="楷体"/>
    </w:rPr>
  </w:style>
  <w:style w:type="paragraph" w:customStyle="1" w:styleId="16">
    <w:name w:val="论文小标题2"/>
    <w:basedOn w:val="3"/>
    <w:next w:val="15"/>
    <w:link w:val="17"/>
    <w:autoRedefine/>
    <w:qFormat/>
    <w:uiPriority w:val="0"/>
    <w:pPr>
      <w:spacing w:after="0"/>
    </w:pPr>
    <w:rPr>
      <w:rFonts w:eastAsia="楷体" w:cs="Times New Roman"/>
      <w:sz w:val="24"/>
    </w:rPr>
  </w:style>
  <w:style w:type="character" w:customStyle="1" w:styleId="17">
    <w:name w:val="论文小标题2 字符"/>
    <w:basedOn w:val="18"/>
    <w:link w:val="16"/>
    <w:qFormat/>
    <w:uiPriority w:val="0"/>
    <w:rPr>
      <w:rFonts w:eastAsia="楷体" w:cs="Times New Roman" w:asciiTheme="minorHAnsi" w:hAnsiTheme="minorHAnsi"/>
      <w:sz w:val="24"/>
    </w:rPr>
  </w:style>
  <w:style w:type="character" w:customStyle="1" w:styleId="18">
    <w:name w:val="标题 8 字符"/>
    <w:basedOn w:val="11"/>
    <w:link w:val="5"/>
    <w:semiHidden/>
    <w:qFormat/>
    <w:uiPriority w:val="0"/>
    <w:rPr>
      <w:rFonts w:asciiTheme="majorHAnsi" w:hAnsiTheme="majorHAnsi" w:eastAsiaTheme="majorEastAsia" w:cstheme="majorBidi"/>
      <w:sz w:val="24"/>
    </w:rPr>
  </w:style>
  <w:style w:type="character" w:customStyle="1" w:styleId="19">
    <w:name w:val="论文小标题 Char"/>
    <w:link w:val="13"/>
    <w:qFormat/>
    <w:uiPriority w:val="0"/>
    <w:rPr>
      <w:rFonts w:eastAsia="楷体"/>
    </w:rPr>
  </w:style>
  <w:style w:type="paragraph" w:customStyle="1" w:styleId="20">
    <w:name w:val="论文表格"/>
    <w:basedOn w:val="8"/>
    <w:qFormat/>
    <w:uiPriority w:val="0"/>
    <w:pPr>
      <w:widowControl/>
      <w:ind w:left="0" w:leftChars="0" w:firstLine="0" w:firstLineChars="0"/>
      <w:jc w:val="center"/>
    </w:pPr>
    <w:rPr>
      <w:rFonts w:cs="Times New Roman"/>
      <w:sz w:val="15"/>
    </w:rPr>
  </w:style>
  <w:style w:type="character" w:customStyle="1" w:styleId="21">
    <w:name w:val="页眉 字符"/>
    <w:basedOn w:val="11"/>
    <w:link w:val="7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2">
    <w:name w:val="页脚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257</Words>
  <Characters>6631</Characters>
  <Lines>200</Lines>
  <Paragraphs>102</Paragraphs>
  <TotalTime>0</TotalTime>
  <ScaleCrop>false</ScaleCrop>
  <LinksUpToDate>false</LinksUpToDate>
  <CharactersWithSpaces>6796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2026-05-13T03:22:00Z</dcterms:created>
  <dc:creator>Administrator</dc:creator>
  <cp:lastModifiedBy>O(∩_∩)O</cp:lastModifiedBy>
  <dcterms:modified xsi:type="dcterms:W3CDTF">2026-05-14T00:58:51Z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eyJoZGlkIjoiNmRiODQ4ZmRkNDM5MzBhMzExZGYyMjUxM2UxOTgyNWUiLCJ1c2VySWQiOiI0OTc2Nzg3NTgifQ==</vt:lpwstr>
  </property>
  <property fmtid="{D5CDD505-2E9C-101B-9397-08002B2CF9AE}" pid="4" name="ICV">
    <vt:lpwstr>F69D56B5710840E0AC2815C9CC650B66_13</vt:lpwstr>
  </property>
</Properties>
</file>