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D79" w:rsidRPr="002F64FC" w:rsidRDefault="007D4D79" w:rsidP="007D4D7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F64FC">
        <w:rPr>
          <w:rFonts w:ascii="Times New Roman" w:hAnsi="Times New Roman" w:cs="Times New Roman"/>
          <w:b/>
          <w:sz w:val="20"/>
          <w:szCs w:val="20"/>
        </w:rPr>
        <w:t>Supplementary Table 1. Correlation Analysis within the Atopic Dermatitis Group</w:t>
      </w:r>
    </w:p>
    <w:tbl>
      <w:tblPr>
        <w:tblW w:w="854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4"/>
        <w:gridCol w:w="2129"/>
        <w:gridCol w:w="1448"/>
      </w:tblGrid>
      <w:tr w:rsidR="007D4D79" w:rsidRPr="002F64FC" w:rsidTr="00141B85">
        <w:trPr>
          <w:trHeight w:val="406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Variable Pair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Spearman r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p value</w:t>
            </w:r>
          </w:p>
        </w:tc>
      </w:tr>
      <w:tr w:rsidR="007D4D79" w:rsidRPr="002F64FC" w:rsidTr="00141B85">
        <w:trPr>
          <w:trHeight w:val="430"/>
          <w:tblCellSpacing w:w="15" w:type="dxa"/>
        </w:trPr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SCORAD vs OER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–0.612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&lt;0.001*</w:t>
            </w:r>
          </w:p>
        </w:tc>
      </w:tr>
      <w:tr w:rsidR="007D4D79" w:rsidRPr="002F64FC" w:rsidTr="00141B85">
        <w:trPr>
          <w:trHeight w:val="430"/>
          <w:tblCellSpacing w:w="15" w:type="dxa"/>
        </w:trPr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SCORAD vs Omentin-1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–0.423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0.006*</w:t>
            </w:r>
          </w:p>
        </w:tc>
      </w:tr>
      <w:tr w:rsidR="007D4D79" w:rsidRPr="002F64FC" w:rsidTr="00141B85">
        <w:trPr>
          <w:trHeight w:val="430"/>
          <w:tblCellSpacing w:w="15" w:type="dxa"/>
        </w:trPr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SCORAD vs Eosinophil count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0.310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0.052</w:t>
            </w:r>
          </w:p>
        </w:tc>
      </w:tr>
      <w:tr w:rsidR="007D4D79" w:rsidRPr="002F64FC" w:rsidTr="00141B85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SCORAD vs Chemerin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0.358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0.024</w:t>
            </w:r>
          </w:p>
        </w:tc>
      </w:tr>
      <w:tr w:rsidR="007D4D79" w:rsidRPr="002F64FC" w:rsidTr="00141B85">
        <w:trPr>
          <w:trHeight w:val="430"/>
          <w:tblCellSpacing w:w="15" w:type="dxa"/>
        </w:trPr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SCORAD vs NLR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0.147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0.365</w:t>
            </w:r>
          </w:p>
        </w:tc>
      </w:tr>
    </w:tbl>
    <w:p w:rsidR="007D4D79" w:rsidRPr="002F64FC" w:rsidRDefault="007D4D79" w:rsidP="007D4D79">
      <w:pPr>
        <w:spacing w:line="480" w:lineRule="auto"/>
        <w:jc w:val="both"/>
        <w:rPr>
          <w:rStyle w:val="Vurgu"/>
          <w:rFonts w:ascii="Times New Roman" w:hAnsi="Times New Roman" w:cs="Times New Roman"/>
          <w:sz w:val="20"/>
          <w:szCs w:val="20"/>
        </w:rPr>
      </w:pPr>
      <w:r w:rsidRPr="002F64FC">
        <w:rPr>
          <w:rFonts w:ascii="Times New Roman" w:hAnsi="Times New Roman" w:cs="Times New Roman"/>
          <w:sz w:val="20"/>
          <w:szCs w:val="20"/>
        </w:rPr>
        <w:t>SCORAD: Scoring Atopic Dermatitis index; OER: Omentin-to-eosinophil ratio; NLR: Neutrophil-to-lymphocyte ratio. *</w:t>
      </w:r>
      <w:r w:rsidRPr="002F64FC">
        <w:rPr>
          <w:rStyle w:val="Vurgu"/>
          <w:rFonts w:ascii="Times New Roman" w:hAnsi="Times New Roman" w:cs="Times New Roman"/>
          <w:sz w:val="20"/>
          <w:szCs w:val="20"/>
        </w:rPr>
        <w:t>Statistically significant.</w:t>
      </w:r>
    </w:p>
    <w:p w:rsidR="007D4D79" w:rsidRPr="002F64FC" w:rsidRDefault="007D4D79" w:rsidP="007D4D79">
      <w:pPr>
        <w:spacing w:line="480" w:lineRule="auto"/>
        <w:jc w:val="both"/>
        <w:rPr>
          <w:rStyle w:val="Vurgu"/>
          <w:rFonts w:ascii="Times New Roman" w:hAnsi="Times New Roman" w:cs="Times New Roman"/>
          <w:sz w:val="20"/>
          <w:szCs w:val="20"/>
        </w:rPr>
      </w:pPr>
    </w:p>
    <w:p w:rsidR="007D4D79" w:rsidRPr="002F64FC" w:rsidRDefault="007D4D79" w:rsidP="007D4D7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4D79" w:rsidRPr="002F64FC" w:rsidRDefault="007D4D79" w:rsidP="007D4D7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4D79" w:rsidRPr="002F64FC" w:rsidRDefault="007D4D79" w:rsidP="007D4D7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4D79" w:rsidRPr="002F64FC" w:rsidRDefault="007D4D79" w:rsidP="007D4D7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4D79" w:rsidRPr="002F64FC" w:rsidRDefault="007D4D79" w:rsidP="007D4D7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4D79" w:rsidRPr="002F64FC" w:rsidRDefault="007D4D79" w:rsidP="007D4D7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4D79" w:rsidRPr="002F64FC" w:rsidRDefault="007D4D79" w:rsidP="007D4D7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4D79" w:rsidRPr="002F64FC" w:rsidRDefault="007D4D79" w:rsidP="007D4D7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4D79" w:rsidRPr="002F64FC" w:rsidRDefault="007D4D79" w:rsidP="007D4D7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4D79" w:rsidRPr="002F64FC" w:rsidRDefault="007D4D79" w:rsidP="007D4D7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4D79" w:rsidRPr="002F64FC" w:rsidRDefault="007D4D79" w:rsidP="007D4D7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4D79" w:rsidRDefault="007D4D79" w:rsidP="007D4D7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D4D79" w:rsidRDefault="007D4D79" w:rsidP="007D4D7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D4D79" w:rsidRDefault="007D4D79" w:rsidP="007D4D7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D4D79" w:rsidRPr="002F64FC" w:rsidRDefault="007D4D79" w:rsidP="007D4D7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F64FC">
        <w:rPr>
          <w:rFonts w:ascii="Times New Roman" w:hAnsi="Times New Roman" w:cs="Times New Roman"/>
          <w:b/>
          <w:sz w:val="20"/>
          <w:szCs w:val="20"/>
        </w:rPr>
        <w:lastRenderedPageBreak/>
        <w:t>Supplementary Table 2. Alternative Multivariable Logistic Regression Model Including NLR</w:t>
      </w:r>
    </w:p>
    <w:tbl>
      <w:tblPr>
        <w:tblW w:w="862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4"/>
        <w:gridCol w:w="1013"/>
        <w:gridCol w:w="2094"/>
        <w:gridCol w:w="1447"/>
      </w:tblGrid>
      <w:tr w:rsidR="007D4D79" w:rsidRPr="002F64FC" w:rsidTr="00141B85">
        <w:trPr>
          <w:trHeight w:val="52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Predictor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OR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p value</w:t>
            </w:r>
          </w:p>
        </w:tc>
      </w:tr>
      <w:tr w:rsidR="007D4D79" w:rsidRPr="002F64FC" w:rsidTr="00141B85">
        <w:trPr>
          <w:trHeight w:val="559"/>
          <w:tblCellSpacing w:w="15" w:type="dxa"/>
        </w:trPr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OER (per 1 SD increase)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0.031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0.005–0.201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&lt;0.001*</w:t>
            </w:r>
          </w:p>
        </w:tc>
      </w:tr>
      <w:tr w:rsidR="007D4D79" w:rsidRPr="002F64FC" w:rsidTr="00141B85">
        <w:trPr>
          <w:trHeight w:val="559"/>
          <w:tblCellSpacing w:w="15" w:type="dxa"/>
        </w:trPr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NLR (per 1 SD increase)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2.74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1.29–5.81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0.009*</w:t>
            </w:r>
          </w:p>
        </w:tc>
      </w:tr>
      <w:tr w:rsidR="007D4D79" w:rsidRPr="002F64FC" w:rsidTr="00141B85">
        <w:trPr>
          <w:trHeight w:val="559"/>
          <w:tblCellSpacing w:w="15" w:type="dxa"/>
        </w:trPr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Age (per 1 SD increase)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0.94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0.51–1.72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0.842</w:t>
            </w:r>
          </w:p>
        </w:tc>
      </w:tr>
      <w:tr w:rsidR="007D4D79" w:rsidRPr="002F64FC" w:rsidTr="00141B85">
        <w:trPr>
          <w:trHeight w:val="528"/>
          <w:tblCellSpacing w:w="15" w:type="dxa"/>
        </w:trPr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BMI (per 1 SD increase)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0.86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0.50-1.49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0.597</w:t>
            </w:r>
          </w:p>
        </w:tc>
      </w:tr>
    </w:tbl>
    <w:p w:rsidR="007D4D79" w:rsidRPr="002F64FC" w:rsidRDefault="007D4D79" w:rsidP="007D4D79">
      <w:pPr>
        <w:pStyle w:val="Balk3"/>
        <w:spacing w:line="480" w:lineRule="auto"/>
        <w:jc w:val="both"/>
        <w:rPr>
          <w:sz w:val="20"/>
          <w:szCs w:val="20"/>
        </w:rPr>
      </w:pPr>
    </w:p>
    <w:p w:rsidR="007D4D79" w:rsidRPr="002F64FC" w:rsidRDefault="007D4D79" w:rsidP="007D4D79">
      <w:pPr>
        <w:pStyle w:val="Balk3"/>
        <w:spacing w:line="480" w:lineRule="auto"/>
        <w:jc w:val="both"/>
        <w:rPr>
          <w:sz w:val="20"/>
          <w:szCs w:val="20"/>
        </w:rPr>
      </w:pPr>
      <w:r w:rsidRPr="002F64FC">
        <w:rPr>
          <w:sz w:val="20"/>
          <w:szCs w:val="20"/>
        </w:rPr>
        <w:t>Model Performance</w:t>
      </w:r>
    </w:p>
    <w:tbl>
      <w:tblPr>
        <w:tblW w:w="64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9"/>
        <w:gridCol w:w="1548"/>
      </w:tblGrid>
      <w:tr w:rsidR="007D4D79" w:rsidRPr="002F64FC" w:rsidTr="00141B85">
        <w:trPr>
          <w:trHeight w:val="59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Metric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Value</w:t>
            </w:r>
          </w:p>
        </w:tc>
      </w:tr>
      <w:tr w:rsidR="007D4D79" w:rsidRPr="002F64FC" w:rsidTr="00141B85">
        <w:trPr>
          <w:trHeight w:val="629"/>
          <w:tblCellSpacing w:w="15" w:type="dxa"/>
        </w:trPr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Cross-validated AUC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0.887</w:t>
            </w:r>
          </w:p>
        </w:tc>
      </w:tr>
      <w:tr w:rsidR="007D4D79" w:rsidRPr="002F64FC" w:rsidTr="00141B85">
        <w:trPr>
          <w:trHeight w:val="629"/>
          <w:tblCellSpacing w:w="15" w:type="dxa"/>
        </w:trPr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Bootstrap mean AUC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0.889</w:t>
            </w:r>
          </w:p>
        </w:tc>
      </w:tr>
      <w:tr w:rsidR="007D4D79" w:rsidRPr="002F64FC" w:rsidTr="00141B85">
        <w:trPr>
          <w:trHeight w:val="594"/>
          <w:tblCellSpacing w:w="15" w:type="dxa"/>
        </w:trPr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Brier score</w:t>
            </w:r>
          </w:p>
        </w:tc>
        <w:tc>
          <w:tcPr>
            <w:tcW w:w="0" w:type="auto"/>
            <w:vAlign w:val="center"/>
            <w:hideMark/>
          </w:tcPr>
          <w:p w:rsidR="007D4D79" w:rsidRPr="002F64FC" w:rsidRDefault="007D4D79" w:rsidP="00141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F64F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0.141</w:t>
            </w:r>
          </w:p>
        </w:tc>
      </w:tr>
    </w:tbl>
    <w:p w:rsidR="007D4D79" w:rsidRPr="002F64FC" w:rsidRDefault="007D4D79" w:rsidP="007D4D79">
      <w:pPr>
        <w:spacing w:line="480" w:lineRule="auto"/>
        <w:jc w:val="both"/>
        <w:rPr>
          <w:rStyle w:val="Vurgu"/>
          <w:rFonts w:ascii="Times New Roman" w:hAnsi="Times New Roman" w:cs="Times New Roman"/>
          <w:sz w:val="20"/>
          <w:szCs w:val="20"/>
        </w:rPr>
      </w:pPr>
      <w:r w:rsidRPr="002F64FC">
        <w:rPr>
          <w:rFonts w:ascii="Times New Roman" w:hAnsi="Times New Roman" w:cs="Times New Roman"/>
          <w:sz w:val="20"/>
          <w:szCs w:val="20"/>
        </w:rPr>
        <w:t>OR: Odds ratio; CI: Confidence interval; OER: Omentin-to-eosinophil ratio; NLR: Neutrophil-to-lymphocyte ratio; BMI: Body mass index. *</w:t>
      </w:r>
      <w:r w:rsidRPr="002F64FC">
        <w:rPr>
          <w:rStyle w:val="Vurgu"/>
          <w:rFonts w:ascii="Times New Roman" w:hAnsi="Times New Roman" w:cs="Times New Roman"/>
          <w:sz w:val="20"/>
          <w:szCs w:val="20"/>
        </w:rPr>
        <w:t>Statistically significant.</w:t>
      </w:r>
    </w:p>
    <w:p w:rsidR="007D4D79" w:rsidRPr="002F64FC" w:rsidRDefault="007D4D79" w:rsidP="007D4D79">
      <w:pPr>
        <w:spacing w:line="480" w:lineRule="auto"/>
        <w:jc w:val="both"/>
        <w:rPr>
          <w:rStyle w:val="Vurgu"/>
          <w:rFonts w:ascii="Times New Roman" w:hAnsi="Times New Roman" w:cs="Times New Roman"/>
          <w:sz w:val="20"/>
          <w:szCs w:val="20"/>
        </w:rPr>
      </w:pPr>
    </w:p>
    <w:p w:rsidR="007D4D79" w:rsidRPr="002F64FC" w:rsidRDefault="007D4D79" w:rsidP="007D4D79">
      <w:pPr>
        <w:spacing w:line="480" w:lineRule="auto"/>
        <w:jc w:val="both"/>
        <w:rPr>
          <w:rStyle w:val="Vurgu"/>
          <w:rFonts w:ascii="Times New Roman" w:hAnsi="Times New Roman" w:cs="Times New Roman"/>
          <w:sz w:val="20"/>
          <w:szCs w:val="20"/>
        </w:rPr>
      </w:pPr>
    </w:p>
    <w:p w:rsidR="007D4D79" w:rsidRPr="002F64FC" w:rsidRDefault="007D4D79" w:rsidP="007D4D79">
      <w:pPr>
        <w:spacing w:line="480" w:lineRule="auto"/>
        <w:jc w:val="both"/>
        <w:rPr>
          <w:rStyle w:val="Vurgu"/>
          <w:rFonts w:ascii="Times New Roman" w:hAnsi="Times New Roman" w:cs="Times New Roman"/>
          <w:sz w:val="20"/>
          <w:szCs w:val="20"/>
        </w:rPr>
      </w:pPr>
    </w:p>
    <w:p w:rsidR="007D4D79" w:rsidRPr="002F64FC" w:rsidRDefault="007D4D79" w:rsidP="007D4D79">
      <w:pPr>
        <w:spacing w:line="480" w:lineRule="auto"/>
        <w:jc w:val="both"/>
        <w:rPr>
          <w:rStyle w:val="Vurgu"/>
          <w:rFonts w:ascii="Times New Roman" w:hAnsi="Times New Roman" w:cs="Times New Roman"/>
          <w:sz w:val="20"/>
          <w:szCs w:val="20"/>
        </w:rPr>
      </w:pPr>
    </w:p>
    <w:p w:rsidR="007D4D79" w:rsidRPr="002F64FC" w:rsidRDefault="007D4D79" w:rsidP="007D4D79">
      <w:pPr>
        <w:spacing w:line="480" w:lineRule="auto"/>
        <w:jc w:val="both"/>
        <w:rPr>
          <w:rStyle w:val="Vurgu"/>
          <w:rFonts w:ascii="Times New Roman" w:hAnsi="Times New Roman" w:cs="Times New Roman"/>
          <w:sz w:val="20"/>
          <w:szCs w:val="20"/>
        </w:rPr>
      </w:pPr>
    </w:p>
    <w:p w:rsidR="007D4D79" w:rsidRDefault="007D4D79" w:rsidP="007D4D7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D4D79" w:rsidRDefault="007D4D79" w:rsidP="007D4D7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D4D79" w:rsidRPr="002F64FC" w:rsidRDefault="007D4D79" w:rsidP="007D4D79">
      <w:pPr>
        <w:spacing w:line="48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2F64FC">
        <w:rPr>
          <w:rFonts w:ascii="Times New Roman" w:hAnsi="Times New Roman" w:cs="Times New Roman"/>
          <w:b/>
          <w:sz w:val="20"/>
          <w:szCs w:val="20"/>
        </w:rPr>
        <w:lastRenderedPageBreak/>
        <w:t>Supplementary Figure 1. Scatter Plot Demonstrating the Relationship between SCORAD and OER in Pediatric Atopic Dermatitis</w:t>
      </w:r>
    </w:p>
    <w:p w:rsidR="007D4D79" w:rsidRPr="002F64FC" w:rsidRDefault="007D4D79" w:rsidP="007D4D79">
      <w:pPr>
        <w:pStyle w:val="NormalWeb"/>
        <w:spacing w:line="480" w:lineRule="auto"/>
        <w:jc w:val="both"/>
        <w:rPr>
          <w:sz w:val="20"/>
          <w:szCs w:val="20"/>
        </w:rPr>
      </w:pPr>
      <w:r w:rsidRPr="002F64FC">
        <w:rPr>
          <w:noProof/>
          <w:sz w:val="20"/>
          <w:szCs w:val="20"/>
          <w:lang w:val="tr-TR" w:eastAsia="tr-TR"/>
        </w:rPr>
        <w:drawing>
          <wp:inline distT="0" distB="0" distL="0" distR="0" wp14:anchorId="737BE5D3" wp14:editId="732CC6DC">
            <wp:extent cx="4855474" cy="5001778"/>
            <wp:effectExtent l="0" t="0" r="2540" b="889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_Figure_1_SCORAD_OER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474" cy="500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D79" w:rsidRPr="002F64FC" w:rsidRDefault="007D4D79" w:rsidP="007D4D79">
      <w:pPr>
        <w:pStyle w:val="NormalWeb"/>
        <w:spacing w:line="480" w:lineRule="auto"/>
        <w:jc w:val="both"/>
        <w:rPr>
          <w:sz w:val="20"/>
          <w:szCs w:val="20"/>
        </w:rPr>
      </w:pPr>
      <w:r w:rsidRPr="002F64FC">
        <w:rPr>
          <w:sz w:val="20"/>
          <w:szCs w:val="20"/>
        </w:rPr>
        <w:t>Scatter plot demonstrating the inverse association between the Scoring Atopic Dermatitis (SCORAD) index and the omentin-to-eosinophil ratio (OER) within the atopic dermatitis cohort. Reduced OER values were associated with increasing disease severity, supporting a potential relationship between adipokine–eosinophil imbalance and disease severity.</w:t>
      </w:r>
    </w:p>
    <w:p w:rsidR="00732A84" w:rsidRDefault="007D4D79">
      <w:bookmarkStart w:id="0" w:name="_GoBack"/>
      <w:bookmarkEnd w:id="0"/>
    </w:p>
    <w:sectPr w:rsidR="00732A84" w:rsidSect="00360689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79"/>
    <w:rsid w:val="001079E6"/>
    <w:rsid w:val="002344C6"/>
    <w:rsid w:val="007D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18F61-4ADA-427F-A732-52266C50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D79"/>
    <w:rPr>
      <w:lang w:val="en-US"/>
    </w:rPr>
  </w:style>
  <w:style w:type="paragraph" w:styleId="Balk3">
    <w:name w:val="heading 3"/>
    <w:basedOn w:val="Normal"/>
    <w:link w:val="Balk3Char"/>
    <w:uiPriority w:val="9"/>
    <w:qFormat/>
    <w:rsid w:val="007D4D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7D4D79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unhideWhenUsed/>
    <w:rsid w:val="007D4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7D4D79"/>
    <w:rPr>
      <w:i/>
      <w:iCs/>
    </w:rPr>
  </w:style>
  <w:style w:type="character" w:styleId="SatrNumaras">
    <w:name w:val="line number"/>
    <w:basedOn w:val="VarsaylanParagrafYazTipi"/>
    <w:uiPriority w:val="99"/>
    <w:semiHidden/>
    <w:unhideWhenUsed/>
    <w:rsid w:val="007D4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1</cp:revision>
  <dcterms:created xsi:type="dcterms:W3CDTF">2026-05-14T06:58:00Z</dcterms:created>
  <dcterms:modified xsi:type="dcterms:W3CDTF">2026-05-14T06:58:00Z</dcterms:modified>
</cp:coreProperties>
</file>