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EDD2F" w14:textId="77777777" w:rsidR="00F01B82" w:rsidRPr="002F62B1" w:rsidRDefault="00F01B82">
      <w:pPr>
        <w:rPr>
          <w:rFonts w:ascii="Times New Roman" w:hAnsi="Times New Roman" w:cs="Times New Roman"/>
        </w:rPr>
      </w:pPr>
    </w:p>
    <w:p w14:paraId="2B12EE4C" w14:textId="77777777" w:rsidR="00771E1E" w:rsidRPr="002F62B1" w:rsidRDefault="00771E1E" w:rsidP="00771E1E">
      <w:pPr>
        <w:rPr>
          <w:rFonts w:ascii="Times New Roman" w:hAnsi="Times New Roman" w:cs="Times New Roman"/>
          <w:b/>
          <w:bCs/>
        </w:rPr>
      </w:pPr>
      <w:r w:rsidRPr="002F62B1">
        <w:rPr>
          <w:rFonts w:ascii="Times New Roman" w:hAnsi="Times New Roman" w:cs="Times New Roman"/>
          <w:b/>
          <w:bCs/>
        </w:rPr>
        <w:t>Figure S1. Pairwise trait relationships</w:t>
      </w:r>
    </w:p>
    <w:p w14:paraId="64D5CAC4" w14:textId="77777777" w:rsidR="00771E1E" w:rsidRPr="002F62B1" w:rsidRDefault="00771E1E" w:rsidP="00771E1E">
      <w:pPr>
        <w:rPr>
          <w:rFonts w:ascii="Times New Roman" w:hAnsi="Times New Roman" w:cs="Times New Roman"/>
        </w:rPr>
      </w:pPr>
      <w:r w:rsidRPr="002F62B1">
        <w:rPr>
          <w:rFonts w:ascii="Times New Roman" w:hAnsi="Times New Roman" w:cs="Times New Roman"/>
        </w:rPr>
        <w:t>Figure S1. Pairwise scatterplots and density distributions for six agronomic traits.</w:t>
      </w:r>
    </w:p>
    <w:p w14:paraId="78D09F16" w14:textId="77777777" w:rsidR="00771E1E" w:rsidRPr="002F62B1" w:rsidRDefault="00771E1E" w:rsidP="00771E1E">
      <w:pPr>
        <w:rPr>
          <w:rFonts w:ascii="Times New Roman" w:hAnsi="Times New Roman" w:cs="Times New Roman"/>
        </w:rPr>
      </w:pPr>
      <w:r w:rsidRPr="002F62B1">
        <w:rPr>
          <w:rFonts w:ascii="Times New Roman" w:hAnsi="Times New Roman" w:cs="Times New Roman"/>
        </w:rPr>
        <w:t>Diagonal panels show trait density distributions, while off-diagonal panels show pairwise relationships.</w:t>
      </w:r>
    </w:p>
    <w:p w14:paraId="7673FFAE" w14:textId="77777777" w:rsidR="00771E1E" w:rsidRPr="002F62B1" w:rsidRDefault="00771E1E" w:rsidP="00771E1E">
      <w:pPr>
        <w:rPr>
          <w:rFonts w:ascii="Times New Roman" w:hAnsi="Times New Roman" w:cs="Times New Roman"/>
        </w:rPr>
      </w:pPr>
      <w:r w:rsidRPr="002F62B1">
        <w:rPr>
          <w:rFonts w:ascii="Times New Roman" w:hAnsi="Times New Roman" w:cs="Times New Roman"/>
        </w:rPr>
        <w:t>Pearson correlation coefficients (r) and significance levels are indicated in the upper panels.</w:t>
      </w:r>
    </w:p>
    <w:p w14:paraId="2B8AC5D7" w14:textId="77777777" w:rsidR="00771E1E" w:rsidRPr="002F62B1" w:rsidRDefault="00771E1E" w:rsidP="00771E1E">
      <w:pPr>
        <w:rPr>
          <w:rFonts w:ascii="Times New Roman" w:hAnsi="Times New Roman" w:cs="Times New Roman"/>
          <w:b/>
          <w:bCs/>
        </w:rPr>
      </w:pPr>
      <w:r w:rsidRPr="002F62B1">
        <w:rPr>
          <w:rFonts w:ascii="Times New Roman" w:hAnsi="Times New Roman" w:cs="Times New Roman"/>
          <w:b/>
          <w:bCs/>
        </w:rPr>
        <w:t>Figure S2. GWAS of effective tiller number</w:t>
      </w:r>
    </w:p>
    <w:p w14:paraId="48AA1907" w14:textId="77777777" w:rsidR="00771E1E" w:rsidRPr="002F62B1" w:rsidRDefault="00771E1E" w:rsidP="00771E1E">
      <w:pPr>
        <w:rPr>
          <w:rFonts w:ascii="Times New Roman" w:hAnsi="Times New Roman" w:cs="Times New Roman"/>
        </w:rPr>
      </w:pPr>
      <w:r w:rsidRPr="002F62B1">
        <w:rPr>
          <w:rFonts w:ascii="Times New Roman" w:hAnsi="Times New Roman" w:cs="Times New Roman"/>
        </w:rPr>
        <w:t>Figure S2. Genome-wide association analysis for effective tiller number (ET) across five environments.</w:t>
      </w:r>
    </w:p>
    <w:p w14:paraId="408EF4DD" w14:textId="77777777" w:rsidR="00771E1E" w:rsidRPr="002F62B1" w:rsidRDefault="00771E1E" w:rsidP="00771E1E">
      <w:pPr>
        <w:rPr>
          <w:rFonts w:ascii="Times New Roman" w:hAnsi="Times New Roman" w:cs="Times New Roman"/>
        </w:rPr>
      </w:pPr>
      <w:r w:rsidRPr="002F62B1">
        <w:rPr>
          <w:rFonts w:ascii="Times New Roman" w:hAnsi="Times New Roman" w:cs="Times New Roman"/>
        </w:rPr>
        <w:t>Results from FarmCPU, GLM, and MLMM models are shown.</w:t>
      </w:r>
    </w:p>
    <w:p w14:paraId="47549B86" w14:textId="77777777" w:rsidR="00771E1E" w:rsidRPr="002F62B1" w:rsidRDefault="00771E1E" w:rsidP="00771E1E">
      <w:pPr>
        <w:rPr>
          <w:rFonts w:ascii="Times New Roman" w:hAnsi="Times New Roman" w:cs="Times New Roman"/>
        </w:rPr>
      </w:pPr>
      <w:r w:rsidRPr="002F62B1">
        <w:rPr>
          <w:rFonts w:ascii="Times New Roman" w:hAnsi="Times New Roman" w:cs="Times New Roman"/>
        </w:rPr>
        <w:t>The dashed line indicates the genome-wide significance threshold.</w:t>
      </w:r>
    </w:p>
    <w:p w14:paraId="783372DF" w14:textId="77777777" w:rsidR="00771E1E" w:rsidRPr="002F62B1" w:rsidRDefault="00771E1E" w:rsidP="00771E1E">
      <w:pPr>
        <w:rPr>
          <w:rFonts w:ascii="Times New Roman" w:hAnsi="Times New Roman" w:cs="Times New Roman"/>
          <w:b/>
          <w:bCs/>
        </w:rPr>
      </w:pPr>
      <w:r w:rsidRPr="002F62B1">
        <w:rPr>
          <w:rFonts w:ascii="Times New Roman" w:hAnsi="Times New Roman" w:cs="Times New Roman"/>
          <w:b/>
          <w:bCs/>
        </w:rPr>
        <w:t>Figure S3. GWAS of grain number per spike</w:t>
      </w:r>
    </w:p>
    <w:p w14:paraId="4631E9DF" w14:textId="77777777" w:rsidR="00771E1E" w:rsidRPr="002F62B1" w:rsidRDefault="00771E1E" w:rsidP="00771E1E">
      <w:pPr>
        <w:rPr>
          <w:rFonts w:ascii="Times New Roman" w:hAnsi="Times New Roman" w:cs="Times New Roman"/>
        </w:rPr>
      </w:pPr>
      <w:r w:rsidRPr="002F62B1">
        <w:rPr>
          <w:rFonts w:ascii="Times New Roman" w:hAnsi="Times New Roman" w:cs="Times New Roman"/>
        </w:rPr>
        <w:t>Figure S3. Genome-wide association analysis for grain number per spike (GNS) across environments.</w:t>
      </w:r>
    </w:p>
    <w:p w14:paraId="03E5E762" w14:textId="77777777" w:rsidR="00771E1E" w:rsidRPr="002F62B1" w:rsidRDefault="00771E1E" w:rsidP="00771E1E">
      <w:pPr>
        <w:rPr>
          <w:rFonts w:ascii="Times New Roman" w:hAnsi="Times New Roman" w:cs="Times New Roman"/>
        </w:rPr>
      </w:pPr>
      <w:r w:rsidRPr="002F62B1">
        <w:rPr>
          <w:rFonts w:ascii="Times New Roman" w:hAnsi="Times New Roman" w:cs="Times New Roman"/>
        </w:rPr>
        <w:t>Association signals detected by different models are largely environment dependent, with several shared loci.</w:t>
      </w:r>
    </w:p>
    <w:p w14:paraId="279174A6" w14:textId="77777777" w:rsidR="00771E1E" w:rsidRPr="002F62B1" w:rsidRDefault="00771E1E" w:rsidP="00771E1E">
      <w:pPr>
        <w:rPr>
          <w:rFonts w:ascii="Times New Roman" w:hAnsi="Times New Roman" w:cs="Times New Roman"/>
          <w:b/>
          <w:bCs/>
        </w:rPr>
      </w:pPr>
      <w:r w:rsidRPr="002F62B1">
        <w:rPr>
          <w:rFonts w:ascii="Times New Roman" w:hAnsi="Times New Roman" w:cs="Times New Roman"/>
          <w:b/>
          <w:bCs/>
        </w:rPr>
        <w:t>Figure S4. GWAS of spike length</w:t>
      </w:r>
    </w:p>
    <w:p w14:paraId="0DA32C80" w14:textId="77777777" w:rsidR="00771E1E" w:rsidRPr="002F62B1" w:rsidRDefault="00771E1E" w:rsidP="00771E1E">
      <w:pPr>
        <w:rPr>
          <w:rFonts w:ascii="Times New Roman" w:hAnsi="Times New Roman" w:cs="Times New Roman"/>
        </w:rPr>
      </w:pPr>
      <w:r w:rsidRPr="002F62B1">
        <w:rPr>
          <w:rFonts w:ascii="Times New Roman" w:hAnsi="Times New Roman" w:cs="Times New Roman"/>
        </w:rPr>
        <w:t>Figure S4. Genome-wide association analysis for spike length (SL) conducted in five environments.</w:t>
      </w:r>
    </w:p>
    <w:p w14:paraId="47EEEBEA" w14:textId="77777777" w:rsidR="00771E1E" w:rsidRPr="002F62B1" w:rsidRDefault="00771E1E" w:rsidP="00771E1E">
      <w:pPr>
        <w:rPr>
          <w:rFonts w:ascii="Times New Roman" w:hAnsi="Times New Roman" w:cs="Times New Roman"/>
        </w:rPr>
      </w:pPr>
      <w:r w:rsidRPr="002F62B1">
        <w:rPr>
          <w:rFonts w:ascii="Times New Roman" w:hAnsi="Times New Roman" w:cs="Times New Roman"/>
        </w:rPr>
        <w:t>Several loci show environment-specific effects, indicating genotype-by-environment interaction.</w:t>
      </w:r>
    </w:p>
    <w:p w14:paraId="48F157D3" w14:textId="77777777" w:rsidR="00771E1E" w:rsidRPr="002F62B1" w:rsidRDefault="00771E1E" w:rsidP="00771E1E">
      <w:pPr>
        <w:rPr>
          <w:rFonts w:ascii="Times New Roman" w:hAnsi="Times New Roman" w:cs="Times New Roman"/>
          <w:b/>
          <w:bCs/>
        </w:rPr>
      </w:pPr>
      <w:r w:rsidRPr="002F62B1">
        <w:rPr>
          <w:rFonts w:ascii="Times New Roman" w:hAnsi="Times New Roman" w:cs="Times New Roman"/>
          <w:b/>
          <w:bCs/>
        </w:rPr>
        <w:t>Figure S5. GWAS of spikelet number per spike</w:t>
      </w:r>
    </w:p>
    <w:p w14:paraId="72C3986E" w14:textId="77777777" w:rsidR="00771E1E" w:rsidRPr="002F62B1" w:rsidRDefault="00771E1E" w:rsidP="00771E1E">
      <w:pPr>
        <w:rPr>
          <w:rFonts w:ascii="Times New Roman" w:hAnsi="Times New Roman" w:cs="Times New Roman"/>
        </w:rPr>
      </w:pPr>
      <w:r w:rsidRPr="002F62B1">
        <w:rPr>
          <w:rFonts w:ascii="Times New Roman" w:hAnsi="Times New Roman" w:cs="Times New Roman"/>
        </w:rPr>
        <w:t>Figure S5. Genome-wide association analysis for spikelet number per spike (SNS).</w:t>
      </w:r>
    </w:p>
    <w:p w14:paraId="54BBAA1F" w14:textId="77777777" w:rsidR="00771E1E" w:rsidRPr="002F62B1" w:rsidRDefault="00771E1E" w:rsidP="00771E1E">
      <w:pPr>
        <w:rPr>
          <w:rFonts w:ascii="Times New Roman" w:hAnsi="Times New Roman" w:cs="Times New Roman"/>
        </w:rPr>
      </w:pPr>
      <w:r w:rsidRPr="002F62B1">
        <w:rPr>
          <w:rFonts w:ascii="Times New Roman" w:hAnsi="Times New Roman" w:cs="Times New Roman"/>
        </w:rPr>
        <w:t>Multiple significant loci are detected, some of which overlap with plant height–associated regions.</w:t>
      </w:r>
    </w:p>
    <w:p w14:paraId="75B5765F" w14:textId="77777777" w:rsidR="00771E1E" w:rsidRPr="002F62B1" w:rsidRDefault="00771E1E" w:rsidP="00771E1E">
      <w:pPr>
        <w:rPr>
          <w:rFonts w:ascii="Times New Roman" w:hAnsi="Times New Roman" w:cs="Times New Roman"/>
          <w:b/>
          <w:bCs/>
        </w:rPr>
      </w:pPr>
      <w:r w:rsidRPr="002F62B1">
        <w:rPr>
          <w:rFonts w:ascii="Times New Roman" w:hAnsi="Times New Roman" w:cs="Times New Roman"/>
          <w:b/>
          <w:bCs/>
        </w:rPr>
        <w:t>Figure S6. GWAS of thousand grain weight</w:t>
      </w:r>
    </w:p>
    <w:p w14:paraId="686ADFD1" w14:textId="77777777" w:rsidR="00771E1E" w:rsidRPr="002F62B1" w:rsidRDefault="00771E1E" w:rsidP="00771E1E">
      <w:pPr>
        <w:rPr>
          <w:rFonts w:ascii="Times New Roman" w:hAnsi="Times New Roman" w:cs="Times New Roman"/>
        </w:rPr>
      </w:pPr>
      <w:r w:rsidRPr="002F62B1">
        <w:rPr>
          <w:rFonts w:ascii="Times New Roman" w:hAnsi="Times New Roman" w:cs="Times New Roman"/>
        </w:rPr>
        <w:t>Figure S6. Genome-wide association analysis for thousand grain weight (TGW) across environments.</w:t>
      </w:r>
    </w:p>
    <w:p w14:paraId="671949A9" w14:textId="77777777" w:rsidR="00771E1E" w:rsidRPr="002F62B1" w:rsidRDefault="00771E1E" w:rsidP="00771E1E">
      <w:pPr>
        <w:rPr>
          <w:rFonts w:ascii="Times New Roman" w:hAnsi="Times New Roman" w:cs="Times New Roman"/>
        </w:rPr>
      </w:pPr>
      <w:r w:rsidRPr="002F62B1">
        <w:rPr>
          <w:rFonts w:ascii="Times New Roman" w:hAnsi="Times New Roman" w:cs="Times New Roman"/>
        </w:rPr>
        <w:t>Both stable and environment-specific association signals are observed.</w:t>
      </w:r>
    </w:p>
    <w:p w14:paraId="3D1B7783" w14:textId="77777777" w:rsidR="00771E1E" w:rsidRPr="002F62B1" w:rsidRDefault="00771E1E" w:rsidP="00771E1E">
      <w:pPr>
        <w:rPr>
          <w:rFonts w:ascii="Times New Roman" w:hAnsi="Times New Roman" w:cs="Times New Roman"/>
          <w:b/>
          <w:bCs/>
        </w:rPr>
      </w:pPr>
      <w:r w:rsidRPr="002F62B1">
        <w:rPr>
          <w:rFonts w:ascii="Times New Roman" w:hAnsi="Times New Roman" w:cs="Times New Roman"/>
          <w:b/>
          <w:bCs/>
        </w:rPr>
        <w:t>Figure S7. QTL × environment interaction effects</w:t>
      </w:r>
    </w:p>
    <w:p w14:paraId="53C25E2F" w14:textId="77777777" w:rsidR="00771E1E" w:rsidRPr="002F62B1" w:rsidRDefault="00771E1E" w:rsidP="00771E1E">
      <w:pPr>
        <w:rPr>
          <w:rFonts w:ascii="Times New Roman" w:hAnsi="Times New Roman" w:cs="Times New Roman"/>
        </w:rPr>
      </w:pPr>
      <w:r w:rsidRPr="002F62B1">
        <w:rPr>
          <w:rFonts w:ascii="Times New Roman" w:hAnsi="Times New Roman" w:cs="Times New Roman"/>
        </w:rPr>
        <w:t>Figure S7. Mean effect sizes of representative QTL across environments.</w:t>
      </w:r>
    </w:p>
    <w:p w14:paraId="62A403DE" w14:textId="77777777" w:rsidR="00771E1E" w:rsidRPr="002F62B1" w:rsidRDefault="00771E1E" w:rsidP="00771E1E">
      <w:pPr>
        <w:rPr>
          <w:rFonts w:ascii="Times New Roman" w:hAnsi="Times New Roman" w:cs="Times New Roman"/>
        </w:rPr>
      </w:pPr>
      <w:r w:rsidRPr="002F62B1">
        <w:rPr>
          <w:rFonts w:ascii="Times New Roman" w:hAnsi="Times New Roman" w:cs="Times New Roman"/>
        </w:rPr>
        <w:t>Each point represents the average allelic effect of a QTL in a given environment.</w:t>
      </w:r>
    </w:p>
    <w:p w14:paraId="3CBBBFDC" w14:textId="493550D6" w:rsidR="00D41C4D" w:rsidRPr="002F62B1" w:rsidRDefault="00771E1E" w:rsidP="00771E1E">
      <w:pPr>
        <w:rPr>
          <w:rFonts w:ascii="Times New Roman" w:hAnsi="Times New Roman" w:cs="Times New Roman"/>
        </w:rPr>
      </w:pPr>
      <w:r w:rsidRPr="002F62B1">
        <w:rPr>
          <w:rFonts w:ascii="Times New Roman" w:hAnsi="Times New Roman" w:cs="Times New Roman"/>
        </w:rPr>
        <w:t>Trait-specific patterns indicate strong genotype-by-environment interactions for plant height and yield-related traits.</w:t>
      </w:r>
    </w:p>
    <w:sectPr w:rsidR="00D41C4D" w:rsidRPr="002F62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A4A7D" w14:textId="77777777" w:rsidR="007A4229" w:rsidRDefault="007A4229" w:rsidP="00D41C4D">
      <w:r>
        <w:separator/>
      </w:r>
    </w:p>
  </w:endnote>
  <w:endnote w:type="continuationSeparator" w:id="0">
    <w:p w14:paraId="7B267A7C" w14:textId="77777777" w:rsidR="007A4229" w:rsidRDefault="007A4229" w:rsidP="00D41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32631" w14:textId="77777777" w:rsidR="007A4229" w:rsidRDefault="007A4229" w:rsidP="00D41C4D">
      <w:r>
        <w:separator/>
      </w:r>
    </w:p>
  </w:footnote>
  <w:footnote w:type="continuationSeparator" w:id="0">
    <w:p w14:paraId="506CFEFF" w14:textId="77777777" w:rsidR="007A4229" w:rsidRDefault="007A4229" w:rsidP="00D41C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C27"/>
    <w:rsid w:val="001C21CE"/>
    <w:rsid w:val="00285C27"/>
    <w:rsid w:val="002F62B1"/>
    <w:rsid w:val="003B2A59"/>
    <w:rsid w:val="004C5205"/>
    <w:rsid w:val="005F54EF"/>
    <w:rsid w:val="00721830"/>
    <w:rsid w:val="00771E1E"/>
    <w:rsid w:val="007A4229"/>
    <w:rsid w:val="00A93484"/>
    <w:rsid w:val="00C6697F"/>
    <w:rsid w:val="00D41C4D"/>
    <w:rsid w:val="00E41705"/>
    <w:rsid w:val="00F01B82"/>
    <w:rsid w:val="00F45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A7E2CB"/>
  <w15:chartTrackingRefBased/>
  <w15:docId w15:val="{7ACA6A6A-D80B-4085-97DC-1726BA6CA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285C2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5C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5C2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5C2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5C2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5C27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5C2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5C2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5C2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5C2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5C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5C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5C27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5C27"/>
    <w:rPr>
      <w:rFonts w:cstheme="majorBidi"/>
      <w:color w:val="0F476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5C27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5C27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5C27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5C27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285C2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5C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5C2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5C2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5C2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5C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5C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5C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5C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5C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5C2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41C4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41C4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41C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41C4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272</Words>
  <Characters>1555</Characters>
  <Application>Microsoft Office Word</Application>
  <DocSecurity>0</DocSecurity>
  <Lines>12</Lines>
  <Paragraphs>3</Paragraphs>
  <ScaleCrop>false</ScaleCrop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新宇 邹</dc:creator>
  <cp:keywords/>
  <dc:description/>
  <cp:lastModifiedBy>Trupti Sudge</cp:lastModifiedBy>
  <cp:revision>6</cp:revision>
  <dcterms:created xsi:type="dcterms:W3CDTF">2025-12-28T08:39:00Z</dcterms:created>
  <dcterms:modified xsi:type="dcterms:W3CDTF">2026-06-12T17:24:00Z</dcterms:modified>
</cp:coreProperties>
</file>