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795C3" w14:textId="77777777" w:rsidR="00285122" w:rsidRPr="00CC23E4" w:rsidRDefault="00285122" w:rsidP="00285122">
      <w:pPr>
        <w:spacing w:after="0" w:line="480" w:lineRule="auto"/>
        <w:jc w:val="center"/>
        <w:rPr>
          <w:rFonts w:ascii="Times New Roman" w:hAnsi="Times New Roman" w:cs="Times New Roman"/>
          <w:bCs/>
          <w:sz w:val="22"/>
        </w:rPr>
      </w:pPr>
      <w:r w:rsidRPr="00CC23E4">
        <w:rPr>
          <w:rFonts w:ascii="Times New Roman" w:hAnsi="Times New Roman" w:cs="Times New Roman"/>
          <w:bCs/>
          <w:sz w:val="22"/>
        </w:rPr>
        <w:t>Supplementary Table S1</w:t>
      </w:r>
    </w:p>
    <w:p w14:paraId="4D592092" w14:textId="77777777" w:rsidR="00285122" w:rsidRPr="00CC23E4" w:rsidRDefault="00285122" w:rsidP="00285122">
      <w:pPr>
        <w:spacing w:line="480" w:lineRule="auto"/>
        <w:jc w:val="center"/>
        <w:rPr>
          <w:rFonts w:ascii="Times New Roman" w:hAnsi="Times New Roman" w:cs="Times New Roman"/>
          <w:bCs/>
        </w:rPr>
      </w:pPr>
      <w:r w:rsidRPr="00591213">
        <w:rPr>
          <w:rFonts w:ascii="Times New Roman" w:hAnsi="Times New Roman" w:cs="Times New Roman"/>
          <w:bCs/>
          <w:sz w:val="22"/>
        </w:rPr>
        <w:t>Unadjusted and fully adjusted Poisson regression analyses of factors associated with severe acute respiratory syndrome</w:t>
      </w:r>
    </w:p>
    <w:tbl>
      <w:tblPr>
        <w:tblStyle w:val="TableGrid"/>
        <w:tblW w:w="0" w:type="auto"/>
        <w:jc w:val="center"/>
        <w:tblBorders>
          <w:insideV w:val="none" w:sz="0" w:space="0" w:color="auto"/>
        </w:tblBorders>
        <w:tblLook w:val="04A0" w:firstRow="1" w:lastRow="0" w:firstColumn="1" w:lastColumn="0" w:noHBand="0" w:noVBand="1"/>
      </w:tblPr>
      <w:tblGrid>
        <w:gridCol w:w="1673"/>
        <w:gridCol w:w="1671"/>
        <w:gridCol w:w="2321"/>
        <w:gridCol w:w="836"/>
        <w:gridCol w:w="2120"/>
      </w:tblGrid>
      <w:tr w:rsidR="00285122" w:rsidRPr="00CC23E4" w14:paraId="21D9B8C3" w14:textId="77777777" w:rsidTr="009B181B">
        <w:trPr>
          <w:jc w:val="center"/>
        </w:trPr>
        <w:tc>
          <w:tcPr>
            <w:tcW w:w="1673" w:type="dxa"/>
            <w:vAlign w:val="center"/>
          </w:tcPr>
          <w:p w14:paraId="6F436CDC"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Variable</w:t>
            </w:r>
          </w:p>
        </w:tc>
        <w:tc>
          <w:tcPr>
            <w:tcW w:w="1671" w:type="dxa"/>
            <w:vAlign w:val="center"/>
          </w:tcPr>
          <w:p w14:paraId="08B41C60"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Category</w:t>
            </w:r>
          </w:p>
        </w:tc>
        <w:tc>
          <w:tcPr>
            <w:tcW w:w="2321" w:type="dxa"/>
            <w:vAlign w:val="center"/>
          </w:tcPr>
          <w:p w14:paraId="00B14A72"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Unadjusted PR (95% CI)</w:t>
            </w:r>
          </w:p>
        </w:tc>
        <w:tc>
          <w:tcPr>
            <w:tcW w:w="709" w:type="dxa"/>
            <w:vAlign w:val="center"/>
          </w:tcPr>
          <w:p w14:paraId="2C81BA67"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p-value</w:t>
            </w:r>
          </w:p>
        </w:tc>
        <w:tc>
          <w:tcPr>
            <w:tcW w:w="2120" w:type="dxa"/>
            <w:vAlign w:val="center"/>
          </w:tcPr>
          <w:p w14:paraId="07D8C3BC"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Fully adjusted PR (95% CI) / p-value</w:t>
            </w:r>
          </w:p>
        </w:tc>
      </w:tr>
      <w:tr w:rsidR="00285122" w:rsidRPr="00CC23E4" w14:paraId="17747D93" w14:textId="77777777" w:rsidTr="009B181B">
        <w:trPr>
          <w:jc w:val="center"/>
        </w:trPr>
        <w:tc>
          <w:tcPr>
            <w:tcW w:w="1673" w:type="dxa"/>
            <w:vMerge w:val="restart"/>
          </w:tcPr>
          <w:p w14:paraId="3891C82D"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Sex</w:t>
            </w:r>
          </w:p>
        </w:tc>
        <w:tc>
          <w:tcPr>
            <w:tcW w:w="1671" w:type="dxa"/>
          </w:tcPr>
          <w:p w14:paraId="4BB93270"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Male</w:t>
            </w:r>
          </w:p>
        </w:tc>
        <w:tc>
          <w:tcPr>
            <w:tcW w:w="2321" w:type="dxa"/>
          </w:tcPr>
          <w:p w14:paraId="1AD0CACE"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1.00</w:t>
            </w:r>
          </w:p>
        </w:tc>
        <w:tc>
          <w:tcPr>
            <w:tcW w:w="709" w:type="dxa"/>
          </w:tcPr>
          <w:p w14:paraId="57010BB0"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w:t>
            </w:r>
          </w:p>
        </w:tc>
        <w:tc>
          <w:tcPr>
            <w:tcW w:w="2120" w:type="dxa"/>
          </w:tcPr>
          <w:p w14:paraId="5E2A4A62"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1.00 / —</w:t>
            </w:r>
          </w:p>
        </w:tc>
      </w:tr>
      <w:tr w:rsidR="00285122" w:rsidRPr="00CC23E4" w14:paraId="481C4BDD" w14:textId="77777777" w:rsidTr="009B181B">
        <w:trPr>
          <w:jc w:val="center"/>
        </w:trPr>
        <w:tc>
          <w:tcPr>
            <w:tcW w:w="1673" w:type="dxa"/>
            <w:vMerge/>
          </w:tcPr>
          <w:p w14:paraId="6B02406C" w14:textId="77777777" w:rsidR="00285122" w:rsidRPr="00CC23E4" w:rsidRDefault="00285122" w:rsidP="009B181B">
            <w:pPr>
              <w:rPr>
                <w:rFonts w:ascii="Times New Roman" w:hAnsi="Times New Roman" w:cs="Times New Roman"/>
              </w:rPr>
            </w:pPr>
          </w:p>
        </w:tc>
        <w:tc>
          <w:tcPr>
            <w:tcW w:w="1671" w:type="dxa"/>
          </w:tcPr>
          <w:p w14:paraId="506E6F23"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Female</w:t>
            </w:r>
          </w:p>
        </w:tc>
        <w:tc>
          <w:tcPr>
            <w:tcW w:w="2321" w:type="dxa"/>
          </w:tcPr>
          <w:p w14:paraId="37AA6DF4"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1.071 (0.987–1.162)</w:t>
            </w:r>
          </w:p>
        </w:tc>
        <w:tc>
          <w:tcPr>
            <w:tcW w:w="709" w:type="dxa"/>
          </w:tcPr>
          <w:p w14:paraId="2048F41F"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0.099</w:t>
            </w:r>
          </w:p>
        </w:tc>
        <w:tc>
          <w:tcPr>
            <w:tcW w:w="2120" w:type="dxa"/>
          </w:tcPr>
          <w:p w14:paraId="29CA11DE"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1.098 (0.994–1.213) / 0.066</w:t>
            </w:r>
          </w:p>
        </w:tc>
      </w:tr>
      <w:tr w:rsidR="00285122" w:rsidRPr="00CC23E4" w14:paraId="575CE15E" w14:textId="77777777" w:rsidTr="009B181B">
        <w:trPr>
          <w:jc w:val="center"/>
        </w:trPr>
        <w:tc>
          <w:tcPr>
            <w:tcW w:w="1673" w:type="dxa"/>
            <w:vMerge w:val="restart"/>
          </w:tcPr>
          <w:p w14:paraId="00972B71"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Age group (years)</w:t>
            </w:r>
          </w:p>
        </w:tc>
        <w:tc>
          <w:tcPr>
            <w:tcW w:w="1671" w:type="dxa"/>
          </w:tcPr>
          <w:p w14:paraId="426A2C79"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15–30</w:t>
            </w:r>
          </w:p>
        </w:tc>
        <w:tc>
          <w:tcPr>
            <w:tcW w:w="2321" w:type="dxa"/>
          </w:tcPr>
          <w:p w14:paraId="7E38EE0E"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1.00</w:t>
            </w:r>
          </w:p>
        </w:tc>
        <w:tc>
          <w:tcPr>
            <w:tcW w:w="709" w:type="dxa"/>
          </w:tcPr>
          <w:p w14:paraId="69117B0E"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w:t>
            </w:r>
          </w:p>
        </w:tc>
        <w:tc>
          <w:tcPr>
            <w:tcW w:w="2120" w:type="dxa"/>
          </w:tcPr>
          <w:p w14:paraId="5EAABE8C"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1.00 / —</w:t>
            </w:r>
          </w:p>
        </w:tc>
      </w:tr>
      <w:tr w:rsidR="00285122" w:rsidRPr="00CC23E4" w14:paraId="21120B5E" w14:textId="77777777" w:rsidTr="009B181B">
        <w:trPr>
          <w:jc w:val="center"/>
        </w:trPr>
        <w:tc>
          <w:tcPr>
            <w:tcW w:w="1673" w:type="dxa"/>
            <w:vMerge/>
          </w:tcPr>
          <w:p w14:paraId="213EAB31" w14:textId="77777777" w:rsidR="00285122" w:rsidRPr="00CC23E4" w:rsidRDefault="00285122" w:rsidP="009B181B">
            <w:pPr>
              <w:rPr>
                <w:rFonts w:ascii="Times New Roman" w:hAnsi="Times New Roman" w:cs="Times New Roman"/>
              </w:rPr>
            </w:pPr>
          </w:p>
        </w:tc>
        <w:tc>
          <w:tcPr>
            <w:tcW w:w="1671" w:type="dxa"/>
          </w:tcPr>
          <w:p w14:paraId="7C3A3AAF"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31–40</w:t>
            </w:r>
          </w:p>
        </w:tc>
        <w:tc>
          <w:tcPr>
            <w:tcW w:w="2321" w:type="dxa"/>
          </w:tcPr>
          <w:p w14:paraId="60EA3B24"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0.963 (0.788–1.178)</w:t>
            </w:r>
          </w:p>
        </w:tc>
        <w:tc>
          <w:tcPr>
            <w:tcW w:w="709" w:type="dxa"/>
          </w:tcPr>
          <w:p w14:paraId="14EBBFC1"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0.716</w:t>
            </w:r>
          </w:p>
        </w:tc>
        <w:tc>
          <w:tcPr>
            <w:tcW w:w="2120" w:type="dxa"/>
          </w:tcPr>
          <w:p w14:paraId="33280344"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1.012 (0.790–1.298) / 0.923</w:t>
            </w:r>
          </w:p>
        </w:tc>
      </w:tr>
      <w:tr w:rsidR="00285122" w:rsidRPr="00CC23E4" w14:paraId="0314F0FA" w14:textId="77777777" w:rsidTr="009B181B">
        <w:trPr>
          <w:jc w:val="center"/>
        </w:trPr>
        <w:tc>
          <w:tcPr>
            <w:tcW w:w="1673" w:type="dxa"/>
            <w:vMerge/>
          </w:tcPr>
          <w:p w14:paraId="4C4AC973" w14:textId="77777777" w:rsidR="00285122" w:rsidRPr="00CC23E4" w:rsidRDefault="00285122" w:rsidP="009B181B">
            <w:pPr>
              <w:rPr>
                <w:rFonts w:ascii="Times New Roman" w:hAnsi="Times New Roman" w:cs="Times New Roman"/>
              </w:rPr>
            </w:pPr>
          </w:p>
        </w:tc>
        <w:tc>
          <w:tcPr>
            <w:tcW w:w="1671" w:type="dxa"/>
          </w:tcPr>
          <w:p w14:paraId="6C1F125F"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41–50</w:t>
            </w:r>
          </w:p>
        </w:tc>
        <w:tc>
          <w:tcPr>
            <w:tcW w:w="2321" w:type="dxa"/>
          </w:tcPr>
          <w:p w14:paraId="7F10BF4B"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1.002 (0.838–1.198)</w:t>
            </w:r>
          </w:p>
        </w:tc>
        <w:tc>
          <w:tcPr>
            <w:tcW w:w="709" w:type="dxa"/>
          </w:tcPr>
          <w:p w14:paraId="408798F5"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0.985</w:t>
            </w:r>
          </w:p>
        </w:tc>
        <w:tc>
          <w:tcPr>
            <w:tcW w:w="2120" w:type="dxa"/>
          </w:tcPr>
          <w:p w14:paraId="2D03BA75"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0.951 (0.765–1.183) / 0.654</w:t>
            </w:r>
          </w:p>
        </w:tc>
      </w:tr>
      <w:tr w:rsidR="00285122" w:rsidRPr="00CC23E4" w14:paraId="62FCCC23" w14:textId="77777777" w:rsidTr="009B181B">
        <w:trPr>
          <w:jc w:val="center"/>
        </w:trPr>
        <w:tc>
          <w:tcPr>
            <w:tcW w:w="1673" w:type="dxa"/>
            <w:vMerge/>
          </w:tcPr>
          <w:p w14:paraId="556D4B76" w14:textId="77777777" w:rsidR="00285122" w:rsidRPr="00CC23E4" w:rsidRDefault="00285122" w:rsidP="009B181B">
            <w:pPr>
              <w:rPr>
                <w:rFonts w:ascii="Times New Roman" w:hAnsi="Times New Roman" w:cs="Times New Roman"/>
              </w:rPr>
            </w:pPr>
          </w:p>
        </w:tc>
        <w:tc>
          <w:tcPr>
            <w:tcW w:w="1671" w:type="dxa"/>
          </w:tcPr>
          <w:p w14:paraId="5CF4C0E3"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51–60</w:t>
            </w:r>
          </w:p>
        </w:tc>
        <w:tc>
          <w:tcPr>
            <w:tcW w:w="2321" w:type="dxa"/>
          </w:tcPr>
          <w:p w14:paraId="3498BF33"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0.976 (0.816–1.167)</w:t>
            </w:r>
          </w:p>
        </w:tc>
        <w:tc>
          <w:tcPr>
            <w:tcW w:w="709" w:type="dxa"/>
          </w:tcPr>
          <w:p w14:paraId="62EBCF3B"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0.787</w:t>
            </w:r>
          </w:p>
        </w:tc>
        <w:tc>
          <w:tcPr>
            <w:tcW w:w="2120" w:type="dxa"/>
          </w:tcPr>
          <w:p w14:paraId="0B7A041F"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1.016 (0.819–1.262) / 0.885</w:t>
            </w:r>
          </w:p>
        </w:tc>
      </w:tr>
      <w:tr w:rsidR="00285122" w:rsidRPr="00CC23E4" w14:paraId="5E679577" w14:textId="77777777" w:rsidTr="009B181B">
        <w:trPr>
          <w:jc w:val="center"/>
        </w:trPr>
        <w:tc>
          <w:tcPr>
            <w:tcW w:w="1673" w:type="dxa"/>
            <w:vMerge/>
          </w:tcPr>
          <w:p w14:paraId="1730415F" w14:textId="77777777" w:rsidR="00285122" w:rsidRPr="00CC23E4" w:rsidRDefault="00285122" w:rsidP="009B181B">
            <w:pPr>
              <w:rPr>
                <w:rFonts w:ascii="Times New Roman" w:hAnsi="Times New Roman" w:cs="Times New Roman"/>
              </w:rPr>
            </w:pPr>
          </w:p>
        </w:tc>
        <w:tc>
          <w:tcPr>
            <w:tcW w:w="1671" w:type="dxa"/>
          </w:tcPr>
          <w:p w14:paraId="31488725"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61–97</w:t>
            </w:r>
          </w:p>
        </w:tc>
        <w:tc>
          <w:tcPr>
            <w:tcW w:w="2321" w:type="dxa"/>
          </w:tcPr>
          <w:p w14:paraId="467561AB"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0.892 (0.751–1.060)</w:t>
            </w:r>
          </w:p>
        </w:tc>
        <w:tc>
          <w:tcPr>
            <w:tcW w:w="709" w:type="dxa"/>
          </w:tcPr>
          <w:p w14:paraId="2030C50D"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0.195</w:t>
            </w:r>
          </w:p>
        </w:tc>
        <w:tc>
          <w:tcPr>
            <w:tcW w:w="2120" w:type="dxa"/>
          </w:tcPr>
          <w:p w14:paraId="0A0434BB"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0.956 (0.783–1.166) / 0.656</w:t>
            </w:r>
          </w:p>
        </w:tc>
      </w:tr>
      <w:tr w:rsidR="00285122" w:rsidRPr="00CC23E4" w14:paraId="10CF0700" w14:textId="77777777" w:rsidTr="009B181B">
        <w:trPr>
          <w:jc w:val="center"/>
        </w:trPr>
        <w:tc>
          <w:tcPr>
            <w:tcW w:w="1673" w:type="dxa"/>
            <w:vMerge w:val="restart"/>
          </w:tcPr>
          <w:p w14:paraId="46DDE486"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Hospital sector</w:t>
            </w:r>
          </w:p>
        </w:tc>
        <w:tc>
          <w:tcPr>
            <w:tcW w:w="1671" w:type="dxa"/>
          </w:tcPr>
          <w:p w14:paraId="4994D0E8"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ICU</w:t>
            </w:r>
          </w:p>
        </w:tc>
        <w:tc>
          <w:tcPr>
            <w:tcW w:w="2321" w:type="dxa"/>
          </w:tcPr>
          <w:p w14:paraId="6D1F2128"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1.00</w:t>
            </w:r>
          </w:p>
        </w:tc>
        <w:tc>
          <w:tcPr>
            <w:tcW w:w="709" w:type="dxa"/>
          </w:tcPr>
          <w:p w14:paraId="5E47E34E"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w:t>
            </w:r>
          </w:p>
        </w:tc>
        <w:tc>
          <w:tcPr>
            <w:tcW w:w="2120" w:type="dxa"/>
          </w:tcPr>
          <w:p w14:paraId="06E81735"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1.00 / —</w:t>
            </w:r>
          </w:p>
        </w:tc>
      </w:tr>
      <w:tr w:rsidR="00285122" w:rsidRPr="00CC23E4" w14:paraId="096E60E7" w14:textId="77777777" w:rsidTr="009B181B">
        <w:trPr>
          <w:jc w:val="center"/>
        </w:trPr>
        <w:tc>
          <w:tcPr>
            <w:tcW w:w="1673" w:type="dxa"/>
            <w:vMerge/>
          </w:tcPr>
          <w:p w14:paraId="714C4E0F" w14:textId="77777777" w:rsidR="00285122" w:rsidRPr="00CC23E4" w:rsidRDefault="00285122" w:rsidP="009B181B">
            <w:pPr>
              <w:rPr>
                <w:rFonts w:ascii="Times New Roman" w:hAnsi="Times New Roman" w:cs="Times New Roman"/>
              </w:rPr>
            </w:pPr>
          </w:p>
        </w:tc>
        <w:tc>
          <w:tcPr>
            <w:tcW w:w="1671" w:type="dxa"/>
          </w:tcPr>
          <w:p w14:paraId="175B8518"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Ward</w:t>
            </w:r>
          </w:p>
        </w:tc>
        <w:tc>
          <w:tcPr>
            <w:tcW w:w="2321" w:type="dxa"/>
          </w:tcPr>
          <w:p w14:paraId="2D0DB612"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0.922 (0.844–1.007)</w:t>
            </w:r>
          </w:p>
        </w:tc>
        <w:tc>
          <w:tcPr>
            <w:tcW w:w="709" w:type="dxa"/>
          </w:tcPr>
          <w:p w14:paraId="020EADE7"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0.070</w:t>
            </w:r>
          </w:p>
        </w:tc>
        <w:tc>
          <w:tcPr>
            <w:tcW w:w="2120" w:type="dxa"/>
          </w:tcPr>
          <w:p w14:paraId="083236D6"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1.131 (1.022–1.253) / 0.018</w:t>
            </w:r>
          </w:p>
        </w:tc>
      </w:tr>
      <w:tr w:rsidR="00285122" w:rsidRPr="00CC23E4" w14:paraId="06D1B19C" w14:textId="77777777" w:rsidTr="009B181B">
        <w:trPr>
          <w:jc w:val="center"/>
        </w:trPr>
        <w:tc>
          <w:tcPr>
            <w:tcW w:w="1673" w:type="dxa"/>
            <w:vMerge w:val="restart"/>
          </w:tcPr>
          <w:p w14:paraId="6A882804"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Respiratory support</w:t>
            </w:r>
          </w:p>
        </w:tc>
        <w:tc>
          <w:tcPr>
            <w:tcW w:w="1671" w:type="dxa"/>
          </w:tcPr>
          <w:p w14:paraId="0474158D"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Room air</w:t>
            </w:r>
          </w:p>
        </w:tc>
        <w:tc>
          <w:tcPr>
            <w:tcW w:w="2321" w:type="dxa"/>
          </w:tcPr>
          <w:p w14:paraId="746B649D"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1.00</w:t>
            </w:r>
          </w:p>
        </w:tc>
        <w:tc>
          <w:tcPr>
            <w:tcW w:w="709" w:type="dxa"/>
          </w:tcPr>
          <w:p w14:paraId="56FFC32F"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w:t>
            </w:r>
          </w:p>
        </w:tc>
        <w:tc>
          <w:tcPr>
            <w:tcW w:w="2120" w:type="dxa"/>
          </w:tcPr>
          <w:p w14:paraId="2CEFCE7F"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1.00 / —</w:t>
            </w:r>
          </w:p>
        </w:tc>
      </w:tr>
      <w:tr w:rsidR="00285122" w:rsidRPr="00CC23E4" w14:paraId="2AC75288" w14:textId="77777777" w:rsidTr="009B181B">
        <w:trPr>
          <w:jc w:val="center"/>
        </w:trPr>
        <w:tc>
          <w:tcPr>
            <w:tcW w:w="1673" w:type="dxa"/>
            <w:vMerge/>
          </w:tcPr>
          <w:p w14:paraId="35976E7C" w14:textId="77777777" w:rsidR="00285122" w:rsidRPr="00CC23E4" w:rsidRDefault="00285122" w:rsidP="009B181B">
            <w:pPr>
              <w:rPr>
                <w:rFonts w:ascii="Times New Roman" w:hAnsi="Times New Roman" w:cs="Times New Roman"/>
              </w:rPr>
            </w:pPr>
          </w:p>
        </w:tc>
        <w:tc>
          <w:tcPr>
            <w:tcW w:w="1671" w:type="dxa"/>
          </w:tcPr>
          <w:p w14:paraId="0D766976"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Oxygen supplementation (catheter/mask)</w:t>
            </w:r>
          </w:p>
        </w:tc>
        <w:tc>
          <w:tcPr>
            <w:tcW w:w="2321" w:type="dxa"/>
          </w:tcPr>
          <w:p w14:paraId="12B88240"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1.589 (1.500–1.682)</w:t>
            </w:r>
          </w:p>
        </w:tc>
        <w:tc>
          <w:tcPr>
            <w:tcW w:w="709" w:type="dxa"/>
          </w:tcPr>
          <w:p w14:paraId="4B69956F"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&lt;0.001</w:t>
            </w:r>
          </w:p>
        </w:tc>
        <w:tc>
          <w:tcPr>
            <w:tcW w:w="2120" w:type="dxa"/>
          </w:tcPr>
          <w:p w14:paraId="2C96A867"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1.312 (1.165–1.477) / &lt;0.001</w:t>
            </w:r>
          </w:p>
        </w:tc>
      </w:tr>
      <w:tr w:rsidR="00285122" w:rsidRPr="00CC23E4" w14:paraId="46FA5A51" w14:textId="77777777" w:rsidTr="009B181B">
        <w:trPr>
          <w:jc w:val="center"/>
        </w:trPr>
        <w:tc>
          <w:tcPr>
            <w:tcW w:w="1673" w:type="dxa"/>
            <w:vMerge/>
          </w:tcPr>
          <w:p w14:paraId="3BB60073" w14:textId="77777777" w:rsidR="00285122" w:rsidRPr="00CC23E4" w:rsidRDefault="00285122" w:rsidP="009B181B">
            <w:pPr>
              <w:rPr>
                <w:rFonts w:ascii="Times New Roman" w:hAnsi="Times New Roman" w:cs="Times New Roman"/>
              </w:rPr>
            </w:pPr>
          </w:p>
        </w:tc>
        <w:tc>
          <w:tcPr>
            <w:tcW w:w="1671" w:type="dxa"/>
          </w:tcPr>
          <w:p w14:paraId="503C1BD6"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Tracheostomy</w:t>
            </w:r>
          </w:p>
        </w:tc>
        <w:tc>
          <w:tcPr>
            <w:tcW w:w="2321" w:type="dxa"/>
          </w:tcPr>
          <w:p w14:paraId="2D04B556"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1.589 (1.500–1.682)*</w:t>
            </w:r>
          </w:p>
        </w:tc>
        <w:tc>
          <w:tcPr>
            <w:tcW w:w="709" w:type="dxa"/>
          </w:tcPr>
          <w:p w14:paraId="28AD80DB"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&lt;0.001</w:t>
            </w:r>
          </w:p>
        </w:tc>
        <w:tc>
          <w:tcPr>
            <w:tcW w:w="2120" w:type="dxa"/>
          </w:tcPr>
          <w:p w14:paraId="23351885"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1.184 (1.089–1.286) / &lt;0.001</w:t>
            </w:r>
          </w:p>
        </w:tc>
      </w:tr>
      <w:tr w:rsidR="00285122" w:rsidRPr="00CC23E4" w14:paraId="4B48BDE4" w14:textId="77777777" w:rsidTr="009B181B">
        <w:trPr>
          <w:jc w:val="center"/>
        </w:trPr>
        <w:tc>
          <w:tcPr>
            <w:tcW w:w="1673" w:type="dxa"/>
            <w:vMerge w:val="restart"/>
          </w:tcPr>
          <w:p w14:paraId="0D67B184"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Diabetes mellitus</w:t>
            </w:r>
          </w:p>
        </w:tc>
        <w:tc>
          <w:tcPr>
            <w:tcW w:w="1671" w:type="dxa"/>
          </w:tcPr>
          <w:p w14:paraId="5E11D17E"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No</w:t>
            </w:r>
          </w:p>
        </w:tc>
        <w:tc>
          <w:tcPr>
            <w:tcW w:w="2321" w:type="dxa"/>
          </w:tcPr>
          <w:p w14:paraId="6C9EC5FB"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1.00</w:t>
            </w:r>
          </w:p>
        </w:tc>
        <w:tc>
          <w:tcPr>
            <w:tcW w:w="709" w:type="dxa"/>
          </w:tcPr>
          <w:p w14:paraId="221E2E03"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w:t>
            </w:r>
          </w:p>
        </w:tc>
        <w:tc>
          <w:tcPr>
            <w:tcW w:w="2120" w:type="dxa"/>
          </w:tcPr>
          <w:p w14:paraId="7AD7FE6E"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1.00 / —</w:t>
            </w:r>
          </w:p>
        </w:tc>
      </w:tr>
      <w:tr w:rsidR="00285122" w:rsidRPr="00CC23E4" w14:paraId="24AFDB5C" w14:textId="77777777" w:rsidTr="009B181B">
        <w:trPr>
          <w:jc w:val="center"/>
        </w:trPr>
        <w:tc>
          <w:tcPr>
            <w:tcW w:w="1673" w:type="dxa"/>
            <w:vMerge/>
          </w:tcPr>
          <w:p w14:paraId="40A9BE74" w14:textId="77777777" w:rsidR="00285122" w:rsidRPr="00CC23E4" w:rsidRDefault="00285122" w:rsidP="009B181B">
            <w:pPr>
              <w:rPr>
                <w:rFonts w:ascii="Times New Roman" w:hAnsi="Times New Roman" w:cs="Times New Roman"/>
              </w:rPr>
            </w:pPr>
          </w:p>
        </w:tc>
        <w:tc>
          <w:tcPr>
            <w:tcW w:w="1671" w:type="dxa"/>
          </w:tcPr>
          <w:p w14:paraId="4AFC2DD3"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Yes</w:t>
            </w:r>
          </w:p>
        </w:tc>
        <w:tc>
          <w:tcPr>
            <w:tcW w:w="2321" w:type="dxa"/>
          </w:tcPr>
          <w:p w14:paraId="4776CEA5"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0.881 (0.808–0.960)</w:t>
            </w:r>
          </w:p>
        </w:tc>
        <w:tc>
          <w:tcPr>
            <w:tcW w:w="709" w:type="dxa"/>
          </w:tcPr>
          <w:p w14:paraId="33E2655C"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0.004</w:t>
            </w:r>
          </w:p>
        </w:tc>
        <w:tc>
          <w:tcPr>
            <w:tcW w:w="2120" w:type="dxa"/>
          </w:tcPr>
          <w:p w14:paraId="0F5756F6"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0.951 (0.865–1.044) / 0.291</w:t>
            </w:r>
          </w:p>
        </w:tc>
      </w:tr>
      <w:tr w:rsidR="00285122" w:rsidRPr="00CC23E4" w14:paraId="79CF1521" w14:textId="77777777" w:rsidTr="009B181B">
        <w:trPr>
          <w:jc w:val="center"/>
        </w:trPr>
        <w:tc>
          <w:tcPr>
            <w:tcW w:w="1673" w:type="dxa"/>
            <w:vMerge w:val="restart"/>
          </w:tcPr>
          <w:p w14:paraId="097F108C"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Hypertension</w:t>
            </w:r>
          </w:p>
        </w:tc>
        <w:tc>
          <w:tcPr>
            <w:tcW w:w="1671" w:type="dxa"/>
          </w:tcPr>
          <w:p w14:paraId="6AAA8035"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No</w:t>
            </w:r>
          </w:p>
        </w:tc>
        <w:tc>
          <w:tcPr>
            <w:tcW w:w="2321" w:type="dxa"/>
          </w:tcPr>
          <w:p w14:paraId="2A0557AF"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1.00</w:t>
            </w:r>
          </w:p>
        </w:tc>
        <w:tc>
          <w:tcPr>
            <w:tcW w:w="709" w:type="dxa"/>
          </w:tcPr>
          <w:p w14:paraId="2A0193AA"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w:t>
            </w:r>
          </w:p>
        </w:tc>
        <w:tc>
          <w:tcPr>
            <w:tcW w:w="2120" w:type="dxa"/>
          </w:tcPr>
          <w:p w14:paraId="198AB85A"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1.00 / —</w:t>
            </w:r>
          </w:p>
        </w:tc>
      </w:tr>
      <w:tr w:rsidR="00285122" w:rsidRPr="00CC23E4" w14:paraId="4A342681" w14:textId="77777777" w:rsidTr="009B181B">
        <w:trPr>
          <w:jc w:val="center"/>
        </w:trPr>
        <w:tc>
          <w:tcPr>
            <w:tcW w:w="1673" w:type="dxa"/>
            <w:vMerge/>
          </w:tcPr>
          <w:p w14:paraId="186A9B49" w14:textId="77777777" w:rsidR="00285122" w:rsidRPr="00CC23E4" w:rsidRDefault="00285122" w:rsidP="009B181B">
            <w:pPr>
              <w:rPr>
                <w:rFonts w:ascii="Times New Roman" w:hAnsi="Times New Roman" w:cs="Times New Roman"/>
              </w:rPr>
            </w:pPr>
          </w:p>
        </w:tc>
        <w:tc>
          <w:tcPr>
            <w:tcW w:w="1671" w:type="dxa"/>
          </w:tcPr>
          <w:p w14:paraId="4CD40294"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Yes</w:t>
            </w:r>
          </w:p>
        </w:tc>
        <w:tc>
          <w:tcPr>
            <w:tcW w:w="2321" w:type="dxa"/>
          </w:tcPr>
          <w:p w14:paraId="7C73D768"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0.943 (0.873–1.020)</w:t>
            </w:r>
          </w:p>
        </w:tc>
        <w:tc>
          <w:tcPr>
            <w:tcW w:w="709" w:type="dxa"/>
          </w:tcPr>
          <w:p w14:paraId="031BA35A"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0.144</w:t>
            </w:r>
          </w:p>
        </w:tc>
        <w:tc>
          <w:tcPr>
            <w:tcW w:w="2120" w:type="dxa"/>
          </w:tcPr>
          <w:p w14:paraId="56565CD4"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0.979 (0.904–1.061) / 0.609</w:t>
            </w:r>
          </w:p>
        </w:tc>
      </w:tr>
      <w:tr w:rsidR="00285122" w:rsidRPr="00CC23E4" w14:paraId="170C3D0F" w14:textId="77777777" w:rsidTr="009B181B">
        <w:trPr>
          <w:jc w:val="center"/>
        </w:trPr>
        <w:tc>
          <w:tcPr>
            <w:tcW w:w="1673" w:type="dxa"/>
            <w:vMerge w:val="restart"/>
          </w:tcPr>
          <w:p w14:paraId="4DB60C83"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Obesity</w:t>
            </w:r>
          </w:p>
        </w:tc>
        <w:tc>
          <w:tcPr>
            <w:tcW w:w="1671" w:type="dxa"/>
          </w:tcPr>
          <w:p w14:paraId="5C0ADBC6"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No</w:t>
            </w:r>
          </w:p>
        </w:tc>
        <w:tc>
          <w:tcPr>
            <w:tcW w:w="2321" w:type="dxa"/>
          </w:tcPr>
          <w:p w14:paraId="279E2122"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1.00</w:t>
            </w:r>
          </w:p>
        </w:tc>
        <w:tc>
          <w:tcPr>
            <w:tcW w:w="709" w:type="dxa"/>
          </w:tcPr>
          <w:p w14:paraId="7869E5E5"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w:t>
            </w:r>
          </w:p>
        </w:tc>
        <w:tc>
          <w:tcPr>
            <w:tcW w:w="2120" w:type="dxa"/>
          </w:tcPr>
          <w:p w14:paraId="11A58C83"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1.00 / —</w:t>
            </w:r>
          </w:p>
        </w:tc>
      </w:tr>
      <w:tr w:rsidR="00285122" w:rsidRPr="00CC23E4" w14:paraId="4AAEBB9E" w14:textId="77777777" w:rsidTr="009B181B">
        <w:trPr>
          <w:jc w:val="center"/>
        </w:trPr>
        <w:tc>
          <w:tcPr>
            <w:tcW w:w="1673" w:type="dxa"/>
            <w:vMerge/>
          </w:tcPr>
          <w:p w14:paraId="4B8F1628" w14:textId="77777777" w:rsidR="00285122" w:rsidRPr="00CC23E4" w:rsidRDefault="00285122" w:rsidP="009B181B">
            <w:pPr>
              <w:rPr>
                <w:rFonts w:ascii="Times New Roman" w:hAnsi="Times New Roman" w:cs="Times New Roman"/>
              </w:rPr>
            </w:pPr>
          </w:p>
        </w:tc>
        <w:tc>
          <w:tcPr>
            <w:tcW w:w="1671" w:type="dxa"/>
          </w:tcPr>
          <w:p w14:paraId="4B51CEBA"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Yes</w:t>
            </w:r>
          </w:p>
        </w:tc>
        <w:tc>
          <w:tcPr>
            <w:tcW w:w="2321" w:type="dxa"/>
          </w:tcPr>
          <w:p w14:paraId="1C749961"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1.156 (1.025–1.304)</w:t>
            </w:r>
          </w:p>
        </w:tc>
        <w:tc>
          <w:tcPr>
            <w:tcW w:w="709" w:type="dxa"/>
          </w:tcPr>
          <w:p w14:paraId="402CCF9E"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0.018</w:t>
            </w:r>
          </w:p>
        </w:tc>
        <w:tc>
          <w:tcPr>
            <w:tcW w:w="2120" w:type="dxa"/>
          </w:tcPr>
          <w:p w14:paraId="1225AEC7"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1.098 (0.976–1.235) / 0.119</w:t>
            </w:r>
          </w:p>
        </w:tc>
      </w:tr>
      <w:tr w:rsidR="00285122" w:rsidRPr="00CC23E4" w14:paraId="02A2EE2E" w14:textId="77777777" w:rsidTr="009B181B">
        <w:trPr>
          <w:jc w:val="center"/>
        </w:trPr>
        <w:tc>
          <w:tcPr>
            <w:tcW w:w="1673" w:type="dxa"/>
            <w:vMerge w:val="restart"/>
          </w:tcPr>
          <w:p w14:paraId="2C608680"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Chronic kidney disease</w:t>
            </w:r>
          </w:p>
        </w:tc>
        <w:tc>
          <w:tcPr>
            <w:tcW w:w="1671" w:type="dxa"/>
          </w:tcPr>
          <w:p w14:paraId="0E1497C6"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No</w:t>
            </w:r>
          </w:p>
        </w:tc>
        <w:tc>
          <w:tcPr>
            <w:tcW w:w="2321" w:type="dxa"/>
          </w:tcPr>
          <w:p w14:paraId="470F2E0B"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1.00</w:t>
            </w:r>
          </w:p>
        </w:tc>
        <w:tc>
          <w:tcPr>
            <w:tcW w:w="709" w:type="dxa"/>
          </w:tcPr>
          <w:p w14:paraId="2C662ECB"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w:t>
            </w:r>
          </w:p>
        </w:tc>
        <w:tc>
          <w:tcPr>
            <w:tcW w:w="2120" w:type="dxa"/>
          </w:tcPr>
          <w:p w14:paraId="671DF092"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1.00 / —</w:t>
            </w:r>
          </w:p>
        </w:tc>
      </w:tr>
      <w:tr w:rsidR="00285122" w:rsidRPr="00CC23E4" w14:paraId="3B8CFD44" w14:textId="77777777" w:rsidTr="009B181B">
        <w:trPr>
          <w:jc w:val="center"/>
        </w:trPr>
        <w:tc>
          <w:tcPr>
            <w:tcW w:w="1673" w:type="dxa"/>
            <w:vMerge/>
          </w:tcPr>
          <w:p w14:paraId="3F9805B8" w14:textId="77777777" w:rsidR="00285122" w:rsidRPr="00CC23E4" w:rsidRDefault="00285122" w:rsidP="009B181B">
            <w:pPr>
              <w:rPr>
                <w:rFonts w:ascii="Times New Roman" w:hAnsi="Times New Roman" w:cs="Times New Roman"/>
              </w:rPr>
            </w:pPr>
          </w:p>
        </w:tc>
        <w:tc>
          <w:tcPr>
            <w:tcW w:w="1671" w:type="dxa"/>
          </w:tcPr>
          <w:p w14:paraId="462047BA"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Yes</w:t>
            </w:r>
          </w:p>
        </w:tc>
        <w:tc>
          <w:tcPr>
            <w:tcW w:w="2321" w:type="dxa"/>
          </w:tcPr>
          <w:p w14:paraId="5F6C79EB"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0.864 (0.736–1.014)</w:t>
            </w:r>
          </w:p>
        </w:tc>
        <w:tc>
          <w:tcPr>
            <w:tcW w:w="709" w:type="dxa"/>
          </w:tcPr>
          <w:p w14:paraId="5F8E13EC"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0.074</w:t>
            </w:r>
          </w:p>
        </w:tc>
        <w:tc>
          <w:tcPr>
            <w:tcW w:w="2120" w:type="dxa"/>
          </w:tcPr>
          <w:p w14:paraId="689F1F9F"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0.917 (0.783–1.073) / 0.280</w:t>
            </w:r>
          </w:p>
        </w:tc>
      </w:tr>
      <w:tr w:rsidR="00285122" w:rsidRPr="00CC23E4" w14:paraId="670EEB47" w14:textId="77777777" w:rsidTr="009B181B">
        <w:trPr>
          <w:jc w:val="center"/>
        </w:trPr>
        <w:tc>
          <w:tcPr>
            <w:tcW w:w="1673" w:type="dxa"/>
            <w:vMerge w:val="restart"/>
          </w:tcPr>
          <w:p w14:paraId="2ADCDFC3"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OHI-S</w:t>
            </w:r>
          </w:p>
        </w:tc>
        <w:tc>
          <w:tcPr>
            <w:tcW w:w="1671" w:type="dxa"/>
          </w:tcPr>
          <w:p w14:paraId="76810F4F"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Satisfactory</w:t>
            </w:r>
          </w:p>
        </w:tc>
        <w:tc>
          <w:tcPr>
            <w:tcW w:w="2321" w:type="dxa"/>
          </w:tcPr>
          <w:p w14:paraId="503530E0"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1.00</w:t>
            </w:r>
          </w:p>
        </w:tc>
        <w:tc>
          <w:tcPr>
            <w:tcW w:w="709" w:type="dxa"/>
          </w:tcPr>
          <w:p w14:paraId="23A0DFDD"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w:t>
            </w:r>
          </w:p>
        </w:tc>
        <w:tc>
          <w:tcPr>
            <w:tcW w:w="2120" w:type="dxa"/>
          </w:tcPr>
          <w:p w14:paraId="6DB8D6A2"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1.00 / —</w:t>
            </w:r>
          </w:p>
        </w:tc>
      </w:tr>
      <w:tr w:rsidR="00285122" w:rsidRPr="00CC23E4" w14:paraId="1D2FF463" w14:textId="77777777" w:rsidTr="009B181B">
        <w:trPr>
          <w:jc w:val="center"/>
        </w:trPr>
        <w:tc>
          <w:tcPr>
            <w:tcW w:w="1673" w:type="dxa"/>
            <w:vMerge/>
          </w:tcPr>
          <w:p w14:paraId="4264E852" w14:textId="77777777" w:rsidR="00285122" w:rsidRPr="00CC23E4" w:rsidRDefault="00285122" w:rsidP="009B181B">
            <w:pPr>
              <w:rPr>
                <w:rFonts w:ascii="Times New Roman" w:hAnsi="Times New Roman" w:cs="Times New Roman"/>
              </w:rPr>
            </w:pPr>
          </w:p>
        </w:tc>
        <w:tc>
          <w:tcPr>
            <w:tcW w:w="1671" w:type="dxa"/>
          </w:tcPr>
          <w:p w14:paraId="3431705A"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Regular</w:t>
            </w:r>
          </w:p>
        </w:tc>
        <w:tc>
          <w:tcPr>
            <w:tcW w:w="2321" w:type="dxa"/>
          </w:tcPr>
          <w:p w14:paraId="67AFE903"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0.858 (0.746–0.982)</w:t>
            </w:r>
          </w:p>
        </w:tc>
        <w:tc>
          <w:tcPr>
            <w:tcW w:w="709" w:type="dxa"/>
          </w:tcPr>
          <w:p w14:paraId="628AFA65"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0.026</w:t>
            </w:r>
          </w:p>
        </w:tc>
        <w:tc>
          <w:tcPr>
            <w:tcW w:w="2120" w:type="dxa"/>
          </w:tcPr>
          <w:p w14:paraId="08B4DA86"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0.914 (0.770–1.083) / 0.299</w:t>
            </w:r>
          </w:p>
        </w:tc>
      </w:tr>
      <w:tr w:rsidR="00285122" w:rsidRPr="00CC23E4" w14:paraId="40967405" w14:textId="77777777" w:rsidTr="009B181B">
        <w:trPr>
          <w:jc w:val="center"/>
        </w:trPr>
        <w:tc>
          <w:tcPr>
            <w:tcW w:w="1673" w:type="dxa"/>
            <w:vMerge/>
          </w:tcPr>
          <w:p w14:paraId="53BF4C29" w14:textId="77777777" w:rsidR="00285122" w:rsidRPr="00CC23E4" w:rsidRDefault="00285122" w:rsidP="009B181B">
            <w:pPr>
              <w:rPr>
                <w:rFonts w:ascii="Times New Roman" w:hAnsi="Times New Roman" w:cs="Times New Roman"/>
              </w:rPr>
            </w:pPr>
          </w:p>
        </w:tc>
        <w:tc>
          <w:tcPr>
            <w:tcW w:w="1671" w:type="dxa"/>
          </w:tcPr>
          <w:p w14:paraId="6CD9A4B2"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Poor/very poor</w:t>
            </w:r>
          </w:p>
        </w:tc>
        <w:tc>
          <w:tcPr>
            <w:tcW w:w="2321" w:type="dxa"/>
          </w:tcPr>
          <w:p w14:paraId="74903EC4"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1.065 (0.933–1.216)</w:t>
            </w:r>
          </w:p>
        </w:tc>
        <w:tc>
          <w:tcPr>
            <w:tcW w:w="709" w:type="dxa"/>
          </w:tcPr>
          <w:p w14:paraId="5CC4DA04"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0.348</w:t>
            </w:r>
          </w:p>
        </w:tc>
        <w:tc>
          <w:tcPr>
            <w:tcW w:w="2120" w:type="dxa"/>
          </w:tcPr>
          <w:p w14:paraId="06ECAC30"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0.890 (0.713–1.110) / 0.301</w:t>
            </w:r>
          </w:p>
        </w:tc>
      </w:tr>
      <w:tr w:rsidR="00285122" w:rsidRPr="00CC23E4" w14:paraId="147E0690" w14:textId="77777777" w:rsidTr="009B181B">
        <w:trPr>
          <w:jc w:val="center"/>
        </w:trPr>
        <w:tc>
          <w:tcPr>
            <w:tcW w:w="1673" w:type="dxa"/>
            <w:vMerge w:val="restart"/>
          </w:tcPr>
          <w:p w14:paraId="66EDC1B3"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Tongue coating</w:t>
            </w:r>
          </w:p>
        </w:tc>
        <w:tc>
          <w:tcPr>
            <w:tcW w:w="1671" w:type="dxa"/>
          </w:tcPr>
          <w:p w14:paraId="4A2CE0B8"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Absent</w:t>
            </w:r>
          </w:p>
        </w:tc>
        <w:tc>
          <w:tcPr>
            <w:tcW w:w="2321" w:type="dxa"/>
          </w:tcPr>
          <w:p w14:paraId="36B5D3E0"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1.00</w:t>
            </w:r>
          </w:p>
        </w:tc>
        <w:tc>
          <w:tcPr>
            <w:tcW w:w="709" w:type="dxa"/>
          </w:tcPr>
          <w:p w14:paraId="788E1AD4"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w:t>
            </w:r>
          </w:p>
        </w:tc>
        <w:tc>
          <w:tcPr>
            <w:tcW w:w="2120" w:type="dxa"/>
          </w:tcPr>
          <w:p w14:paraId="7EA82AC7"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1.00 / —</w:t>
            </w:r>
          </w:p>
        </w:tc>
      </w:tr>
      <w:tr w:rsidR="00285122" w:rsidRPr="00CC23E4" w14:paraId="5217DEE6" w14:textId="77777777" w:rsidTr="009B181B">
        <w:trPr>
          <w:jc w:val="center"/>
        </w:trPr>
        <w:tc>
          <w:tcPr>
            <w:tcW w:w="1673" w:type="dxa"/>
            <w:vMerge/>
          </w:tcPr>
          <w:p w14:paraId="41CE75F0" w14:textId="77777777" w:rsidR="00285122" w:rsidRPr="00CC23E4" w:rsidRDefault="00285122" w:rsidP="009B181B">
            <w:pPr>
              <w:rPr>
                <w:rFonts w:ascii="Times New Roman" w:hAnsi="Times New Roman" w:cs="Times New Roman"/>
              </w:rPr>
            </w:pPr>
          </w:p>
        </w:tc>
        <w:tc>
          <w:tcPr>
            <w:tcW w:w="1671" w:type="dxa"/>
          </w:tcPr>
          <w:p w14:paraId="288F57CC"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Mild</w:t>
            </w:r>
          </w:p>
        </w:tc>
        <w:tc>
          <w:tcPr>
            <w:tcW w:w="2321" w:type="dxa"/>
          </w:tcPr>
          <w:p w14:paraId="1E27FE42"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1.274 (1.100–1.476)</w:t>
            </w:r>
          </w:p>
        </w:tc>
        <w:tc>
          <w:tcPr>
            <w:tcW w:w="709" w:type="dxa"/>
          </w:tcPr>
          <w:p w14:paraId="7F51F8F3"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&lt;0.001</w:t>
            </w:r>
          </w:p>
        </w:tc>
        <w:tc>
          <w:tcPr>
            <w:tcW w:w="2120" w:type="dxa"/>
          </w:tcPr>
          <w:p w14:paraId="06C86D5B"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1.027 (0.889–1.186) / 0.716</w:t>
            </w:r>
          </w:p>
        </w:tc>
      </w:tr>
      <w:tr w:rsidR="00285122" w:rsidRPr="00CC23E4" w14:paraId="08436A8B" w14:textId="77777777" w:rsidTr="009B181B">
        <w:trPr>
          <w:jc w:val="center"/>
        </w:trPr>
        <w:tc>
          <w:tcPr>
            <w:tcW w:w="1673" w:type="dxa"/>
            <w:vMerge/>
          </w:tcPr>
          <w:p w14:paraId="78CF0926" w14:textId="77777777" w:rsidR="00285122" w:rsidRPr="00CC23E4" w:rsidRDefault="00285122" w:rsidP="009B181B">
            <w:pPr>
              <w:rPr>
                <w:rFonts w:ascii="Times New Roman" w:hAnsi="Times New Roman" w:cs="Times New Roman"/>
              </w:rPr>
            </w:pPr>
          </w:p>
        </w:tc>
        <w:tc>
          <w:tcPr>
            <w:tcW w:w="1671" w:type="dxa"/>
          </w:tcPr>
          <w:p w14:paraId="399EF0B7"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Moderate</w:t>
            </w:r>
          </w:p>
        </w:tc>
        <w:tc>
          <w:tcPr>
            <w:tcW w:w="2321" w:type="dxa"/>
          </w:tcPr>
          <w:p w14:paraId="21856457"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1.373 (1.184–1.592)</w:t>
            </w:r>
          </w:p>
        </w:tc>
        <w:tc>
          <w:tcPr>
            <w:tcW w:w="709" w:type="dxa"/>
          </w:tcPr>
          <w:p w14:paraId="15671881"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&lt;0.001</w:t>
            </w:r>
          </w:p>
        </w:tc>
        <w:tc>
          <w:tcPr>
            <w:tcW w:w="2120" w:type="dxa"/>
          </w:tcPr>
          <w:p w14:paraId="2F23B780"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1.134 (0.981–1.310) / 0.089</w:t>
            </w:r>
          </w:p>
        </w:tc>
      </w:tr>
      <w:tr w:rsidR="00285122" w:rsidRPr="00CC23E4" w14:paraId="4180189E" w14:textId="77777777" w:rsidTr="009B181B">
        <w:trPr>
          <w:jc w:val="center"/>
        </w:trPr>
        <w:tc>
          <w:tcPr>
            <w:tcW w:w="1673" w:type="dxa"/>
            <w:vMerge w:val="restart"/>
          </w:tcPr>
          <w:p w14:paraId="1D5AFD16"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Bedside Oral Exam</w:t>
            </w:r>
          </w:p>
        </w:tc>
        <w:tc>
          <w:tcPr>
            <w:tcW w:w="1671" w:type="dxa"/>
          </w:tcPr>
          <w:p w14:paraId="46ABFD5F"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Good oral health</w:t>
            </w:r>
          </w:p>
        </w:tc>
        <w:tc>
          <w:tcPr>
            <w:tcW w:w="2321" w:type="dxa"/>
          </w:tcPr>
          <w:p w14:paraId="4F24112F"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1.00</w:t>
            </w:r>
          </w:p>
        </w:tc>
        <w:tc>
          <w:tcPr>
            <w:tcW w:w="709" w:type="dxa"/>
          </w:tcPr>
          <w:p w14:paraId="35B41297"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w:t>
            </w:r>
          </w:p>
        </w:tc>
        <w:tc>
          <w:tcPr>
            <w:tcW w:w="2120" w:type="dxa"/>
          </w:tcPr>
          <w:p w14:paraId="5839EE84"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1.00 / —</w:t>
            </w:r>
          </w:p>
        </w:tc>
      </w:tr>
      <w:tr w:rsidR="00285122" w:rsidRPr="00CC23E4" w14:paraId="0F0B4C83" w14:textId="77777777" w:rsidTr="009B181B">
        <w:trPr>
          <w:jc w:val="center"/>
        </w:trPr>
        <w:tc>
          <w:tcPr>
            <w:tcW w:w="1673" w:type="dxa"/>
            <w:vMerge/>
          </w:tcPr>
          <w:p w14:paraId="6A3D36FE" w14:textId="77777777" w:rsidR="00285122" w:rsidRPr="00CC23E4" w:rsidRDefault="00285122" w:rsidP="009B181B">
            <w:pPr>
              <w:rPr>
                <w:rFonts w:ascii="Times New Roman" w:hAnsi="Times New Roman" w:cs="Times New Roman"/>
              </w:rPr>
            </w:pPr>
          </w:p>
        </w:tc>
        <w:tc>
          <w:tcPr>
            <w:tcW w:w="1671" w:type="dxa"/>
          </w:tcPr>
          <w:p w14:paraId="4973A70F"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Moderate oral health impairment</w:t>
            </w:r>
          </w:p>
        </w:tc>
        <w:tc>
          <w:tcPr>
            <w:tcW w:w="2321" w:type="dxa"/>
          </w:tcPr>
          <w:p w14:paraId="74DCBCCB"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1.739 (1.527–1.980)</w:t>
            </w:r>
          </w:p>
        </w:tc>
        <w:tc>
          <w:tcPr>
            <w:tcW w:w="709" w:type="dxa"/>
          </w:tcPr>
          <w:p w14:paraId="5343A97D"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&lt;0.001</w:t>
            </w:r>
          </w:p>
        </w:tc>
        <w:tc>
          <w:tcPr>
            <w:tcW w:w="2120" w:type="dxa"/>
          </w:tcPr>
          <w:p w14:paraId="65C9F00F"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1.736 (1.524–1.976) / &lt;0.001</w:t>
            </w:r>
          </w:p>
        </w:tc>
      </w:tr>
      <w:tr w:rsidR="00285122" w:rsidRPr="00CC23E4" w14:paraId="0767971E" w14:textId="77777777" w:rsidTr="009B181B">
        <w:trPr>
          <w:jc w:val="center"/>
        </w:trPr>
        <w:tc>
          <w:tcPr>
            <w:tcW w:w="1673" w:type="dxa"/>
            <w:vMerge/>
          </w:tcPr>
          <w:p w14:paraId="3F8307FE" w14:textId="77777777" w:rsidR="00285122" w:rsidRPr="00CC23E4" w:rsidRDefault="00285122" w:rsidP="009B181B">
            <w:pPr>
              <w:rPr>
                <w:rFonts w:ascii="Times New Roman" w:hAnsi="Times New Roman" w:cs="Times New Roman"/>
              </w:rPr>
            </w:pPr>
          </w:p>
        </w:tc>
        <w:tc>
          <w:tcPr>
            <w:tcW w:w="1671" w:type="dxa"/>
          </w:tcPr>
          <w:p w14:paraId="20D68347"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Poor oral health status</w:t>
            </w:r>
          </w:p>
        </w:tc>
        <w:tc>
          <w:tcPr>
            <w:tcW w:w="2321" w:type="dxa"/>
          </w:tcPr>
          <w:p w14:paraId="6076F2C3"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2.113 (1.875–2.382)</w:t>
            </w:r>
          </w:p>
        </w:tc>
        <w:tc>
          <w:tcPr>
            <w:tcW w:w="709" w:type="dxa"/>
          </w:tcPr>
          <w:p w14:paraId="4E4C16FA"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&lt;0.001</w:t>
            </w:r>
          </w:p>
        </w:tc>
        <w:tc>
          <w:tcPr>
            <w:tcW w:w="2120" w:type="dxa"/>
          </w:tcPr>
          <w:p w14:paraId="581A637D"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2.097 (1.853–2.372) / &lt;0.001</w:t>
            </w:r>
          </w:p>
        </w:tc>
      </w:tr>
      <w:tr w:rsidR="00285122" w:rsidRPr="00CC23E4" w14:paraId="092AFAC9" w14:textId="77777777" w:rsidTr="009B181B">
        <w:trPr>
          <w:jc w:val="center"/>
        </w:trPr>
        <w:tc>
          <w:tcPr>
            <w:tcW w:w="1673" w:type="dxa"/>
            <w:vMerge w:val="restart"/>
          </w:tcPr>
          <w:p w14:paraId="2C1D122C"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Denture use</w:t>
            </w:r>
          </w:p>
        </w:tc>
        <w:tc>
          <w:tcPr>
            <w:tcW w:w="1671" w:type="dxa"/>
          </w:tcPr>
          <w:p w14:paraId="724EE544"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No</w:t>
            </w:r>
          </w:p>
        </w:tc>
        <w:tc>
          <w:tcPr>
            <w:tcW w:w="2321" w:type="dxa"/>
          </w:tcPr>
          <w:p w14:paraId="57BE6640"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1.00</w:t>
            </w:r>
          </w:p>
        </w:tc>
        <w:tc>
          <w:tcPr>
            <w:tcW w:w="709" w:type="dxa"/>
          </w:tcPr>
          <w:p w14:paraId="3E658B87"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w:t>
            </w:r>
          </w:p>
        </w:tc>
        <w:tc>
          <w:tcPr>
            <w:tcW w:w="2120" w:type="dxa"/>
          </w:tcPr>
          <w:p w14:paraId="58A6918F"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1.00 / —</w:t>
            </w:r>
          </w:p>
        </w:tc>
      </w:tr>
      <w:tr w:rsidR="00285122" w:rsidRPr="00CC23E4" w14:paraId="13571C55" w14:textId="77777777" w:rsidTr="009B181B">
        <w:trPr>
          <w:jc w:val="center"/>
        </w:trPr>
        <w:tc>
          <w:tcPr>
            <w:tcW w:w="1673" w:type="dxa"/>
            <w:vMerge/>
          </w:tcPr>
          <w:p w14:paraId="50E3B0B5" w14:textId="77777777" w:rsidR="00285122" w:rsidRPr="00CC23E4" w:rsidRDefault="00285122" w:rsidP="009B181B">
            <w:pPr>
              <w:rPr>
                <w:rFonts w:ascii="Times New Roman" w:hAnsi="Times New Roman" w:cs="Times New Roman"/>
              </w:rPr>
            </w:pPr>
          </w:p>
        </w:tc>
        <w:tc>
          <w:tcPr>
            <w:tcW w:w="1671" w:type="dxa"/>
          </w:tcPr>
          <w:p w14:paraId="49FEF8BA"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Yes</w:t>
            </w:r>
          </w:p>
        </w:tc>
        <w:tc>
          <w:tcPr>
            <w:tcW w:w="2321" w:type="dxa"/>
          </w:tcPr>
          <w:p w14:paraId="5598E3C4"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0.865 (0.768–0.973)</w:t>
            </w:r>
          </w:p>
        </w:tc>
        <w:tc>
          <w:tcPr>
            <w:tcW w:w="709" w:type="dxa"/>
          </w:tcPr>
          <w:p w14:paraId="6566BB21"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0.016</w:t>
            </w:r>
          </w:p>
        </w:tc>
        <w:tc>
          <w:tcPr>
            <w:tcW w:w="2120" w:type="dxa"/>
          </w:tcPr>
          <w:p w14:paraId="3125D487"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0.955 (0.830–1.098) / 0.516</w:t>
            </w:r>
          </w:p>
        </w:tc>
      </w:tr>
      <w:tr w:rsidR="00285122" w:rsidRPr="00CC23E4" w14:paraId="76B37D4A" w14:textId="77777777" w:rsidTr="009B181B">
        <w:trPr>
          <w:jc w:val="center"/>
        </w:trPr>
        <w:tc>
          <w:tcPr>
            <w:tcW w:w="1673" w:type="dxa"/>
            <w:vMerge w:val="restart"/>
          </w:tcPr>
          <w:p w14:paraId="0FE6A1D4"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Oral lesions</w:t>
            </w:r>
          </w:p>
        </w:tc>
        <w:tc>
          <w:tcPr>
            <w:tcW w:w="1671" w:type="dxa"/>
          </w:tcPr>
          <w:p w14:paraId="1DDAF74B"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No</w:t>
            </w:r>
          </w:p>
        </w:tc>
        <w:tc>
          <w:tcPr>
            <w:tcW w:w="2321" w:type="dxa"/>
          </w:tcPr>
          <w:p w14:paraId="744DB157"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1.00</w:t>
            </w:r>
          </w:p>
        </w:tc>
        <w:tc>
          <w:tcPr>
            <w:tcW w:w="709" w:type="dxa"/>
          </w:tcPr>
          <w:p w14:paraId="6399402D"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w:t>
            </w:r>
          </w:p>
        </w:tc>
        <w:tc>
          <w:tcPr>
            <w:tcW w:w="2120" w:type="dxa"/>
          </w:tcPr>
          <w:p w14:paraId="093FFC02"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1.00 / —</w:t>
            </w:r>
          </w:p>
        </w:tc>
      </w:tr>
      <w:tr w:rsidR="00285122" w:rsidRPr="00CC23E4" w14:paraId="225645BD" w14:textId="77777777" w:rsidTr="009B181B">
        <w:trPr>
          <w:jc w:val="center"/>
        </w:trPr>
        <w:tc>
          <w:tcPr>
            <w:tcW w:w="1673" w:type="dxa"/>
            <w:vMerge/>
          </w:tcPr>
          <w:p w14:paraId="5EDA724C" w14:textId="77777777" w:rsidR="00285122" w:rsidRPr="00CC23E4" w:rsidRDefault="00285122" w:rsidP="009B181B">
            <w:pPr>
              <w:rPr>
                <w:rFonts w:ascii="Times New Roman" w:hAnsi="Times New Roman" w:cs="Times New Roman"/>
              </w:rPr>
            </w:pPr>
          </w:p>
        </w:tc>
        <w:tc>
          <w:tcPr>
            <w:tcW w:w="1671" w:type="dxa"/>
          </w:tcPr>
          <w:p w14:paraId="7D5FB588"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Yes</w:t>
            </w:r>
          </w:p>
        </w:tc>
        <w:tc>
          <w:tcPr>
            <w:tcW w:w="2321" w:type="dxa"/>
          </w:tcPr>
          <w:p w14:paraId="5BC42022"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1.088 (0.981–1.207)</w:t>
            </w:r>
          </w:p>
        </w:tc>
        <w:tc>
          <w:tcPr>
            <w:tcW w:w="709" w:type="dxa"/>
          </w:tcPr>
          <w:p w14:paraId="0E11B0C4"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0.109</w:t>
            </w:r>
          </w:p>
        </w:tc>
        <w:tc>
          <w:tcPr>
            <w:tcW w:w="2120" w:type="dxa"/>
          </w:tcPr>
          <w:p w14:paraId="57B6FEB5" w14:textId="77777777" w:rsidR="00285122" w:rsidRPr="00CC23E4" w:rsidRDefault="00285122" w:rsidP="009B181B">
            <w:pPr>
              <w:rPr>
                <w:rFonts w:ascii="Times New Roman" w:hAnsi="Times New Roman" w:cs="Times New Roman"/>
              </w:rPr>
            </w:pPr>
            <w:r w:rsidRPr="00CC23E4">
              <w:rPr>
                <w:rFonts w:ascii="Times New Roman" w:hAnsi="Times New Roman" w:cs="Times New Roman"/>
              </w:rPr>
              <w:t>1.114 (0.987–1.258) / 0.081</w:t>
            </w:r>
          </w:p>
        </w:tc>
      </w:tr>
    </w:tbl>
    <w:p w14:paraId="62BE3149" w14:textId="77777777" w:rsidR="00285122" w:rsidRPr="006A2CB1" w:rsidRDefault="00285122" w:rsidP="00285122">
      <w:pPr>
        <w:spacing w:before="240" w:line="480" w:lineRule="auto"/>
        <w:jc w:val="both"/>
        <w:rPr>
          <w:rFonts w:ascii="Times New Roman" w:hAnsi="Times New Roman" w:cs="Times New Roman"/>
          <w:b/>
          <w:bCs/>
        </w:rPr>
      </w:pPr>
      <w:r w:rsidRPr="00CC23E4">
        <w:rPr>
          <w:rFonts w:ascii="Times New Roman" w:hAnsi="Times New Roman" w:cs="Times New Roman"/>
          <w:sz w:val="18"/>
        </w:rPr>
        <w:t>Abbreviations: PR, prevalence ratio; CI, confidence interval; ICU, intensive care unit; OHI-S, Simplified Oral Hygiene Index; BOE, Bedside Oral Exam. Note: Poisson regression with robust variance was used to estimate prevalence ratios and 95% confidence intervals. The fully adjusted model corresponds to the final hierarchical model after inclusion of sociodemographic, systemic, respiratory, and oral health variables. Intermediate hierarchical models are not shown for brevity. Results should be interpreted as adjusted associations rather than causal or prognostic effects. *The unadjusted PR shown for tracheostomy appears identical to the oxygen supplementation category in the source table and should be verified against the original statistical output before submission.</w:t>
      </w:r>
    </w:p>
    <w:p w14:paraId="304A1665" w14:textId="77777777" w:rsidR="00A91650" w:rsidRDefault="00A91650"/>
    <w:sectPr w:rsidR="00A91650" w:rsidSect="00285122">
      <w:footerReference w:type="default" r:id="rId4"/>
      <w:pgSz w:w="11906" w:h="16838"/>
      <w:pgMar w:top="1418" w:right="1418" w:bottom="1418" w:left="1418"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17617"/>
      <w:docPartObj>
        <w:docPartGallery w:val="Page Numbers (Bottom of Page)"/>
        <w:docPartUnique/>
      </w:docPartObj>
    </w:sdtPr>
    <w:sdtContent>
      <w:p w14:paraId="35759E41" w14:textId="77777777" w:rsidR="00285122" w:rsidRDefault="00285122">
        <w:pPr>
          <w:pStyle w:val="Footer"/>
          <w:jc w:val="center"/>
        </w:pPr>
        <w:r>
          <w:fldChar w:fldCharType="begin"/>
        </w:r>
        <w:r>
          <w:instrText>PAGE   \* MERGEFORMAT</w:instrText>
        </w:r>
        <w:r>
          <w:fldChar w:fldCharType="separate"/>
        </w:r>
        <w:r>
          <w:rPr>
            <w:noProof/>
          </w:rPr>
          <w:t>19</w:t>
        </w:r>
        <w:r>
          <w:fldChar w:fldCharType="end"/>
        </w:r>
      </w:p>
    </w:sdtContent>
  </w:sdt>
  <w:p w14:paraId="7C44EA31" w14:textId="77777777" w:rsidR="00285122" w:rsidRDefault="00285122">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122"/>
    <w:rsid w:val="000E2EDD"/>
    <w:rsid w:val="00285122"/>
    <w:rsid w:val="00A91650"/>
    <w:rsid w:val="00E559FE"/>
    <w:rsid w:val="00E633FC"/>
    <w:rsid w:val="00F9207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DD9BB"/>
  <w15:chartTrackingRefBased/>
  <w15:docId w15:val="{8A006345-7B78-4806-B684-9D38AE92E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122"/>
    <w:rPr>
      <w:lang w:val="pt-BR"/>
    </w:rPr>
  </w:style>
  <w:style w:type="paragraph" w:styleId="Heading1">
    <w:name w:val="heading 1"/>
    <w:basedOn w:val="Normal"/>
    <w:next w:val="Normal"/>
    <w:link w:val="Heading1Char"/>
    <w:uiPriority w:val="9"/>
    <w:qFormat/>
    <w:rsid w:val="00285122"/>
    <w:pPr>
      <w:keepNext/>
      <w:keepLines/>
      <w:spacing w:before="360" w:after="80"/>
      <w:outlineLvl w:val="0"/>
    </w:pPr>
    <w:rPr>
      <w:rFonts w:asciiTheme="majorHAnsi" w:eastAsiaTheme="majorEastAsia" w:hAnsiTheme="majorHAnsi" w:cstheme="majorBidi"/>
      <w:color w:val="0F4761" w:themeColor="accent1" w:themeShade="BF"/>
      <w:sz w:val="40"/>
      <w:szCs w:val="40"/>
      <w:lang w:val="en-IN"/>
    </w:rPr>
  </w:style>
  <w:style w:type="paragraph" w:styleId="Heading2">
    <w:name w:val="heading 2"/>
    <w:basedOn w:val="Normal"/>
    <w:next w:val="Normal"/>
    <w:link w:val="Heading2Char"/>
    <w:uiPriority w:val="9"/>
    <w:semiHidden/>
    <w:unhideWhenUsed/>
    <w:qFormat/>
    <w:rsid w:val="00285122"/>
    <w:pPr>
      <w:keepNext/>
      <w:keepLines/>
      <w:spacing w:before="160" w:after="80"/>
      <w:outlineLvl w:val="1"/>
    </w:pPr>
    <w:rPr>
      <w:rFonts w:asciiTheme="majorHAnsi" w:eastAsiaTheme="majorEastAsia" w:hAnsiTheme="majorHAnsi" w:cstheme="majorBidi"/>
      <w:color w:val="0F4761" w:themeColor="accent1" w:themeShade="BF"/>
      <w:sz w:val="32"/>
      <w:szCs w:val="32"/>
      <w:lang w:val="en-IN"/>
    </w:rPr>
  </w:style>
  <w:style w:type="paragraph" w:styleId="Heading3">
    <w:name w:val="heading 3"/>
    <w:basedOn w:val="Normal"/>
    <w:next w:val="Normal"/>
    <w:link w:val="Heading3Char"/>
    <w:uiPriority w:val="9"/>
    <w:semiHidden/>
    <w:unhideWhenUsed/>
    <w:qFormat/>
    <w:rsid w:val="00285122"/>
    <w:pPr>
      <w:keepNext/>
      <w:keepLines/>
      <w:spacing w:before="160" w:after="80"/>
      <w:outlineLvl w:val="2"/>
    </w:pPr>
    <w:rPr>
      <w:rFonts w:eastAsiaTheme="majorEastAsia" w:cstheme="majorBidi"/>
      <w:color w:val="0F4761" w:themeColor="accent1" w:themeShade="BF"/>
      <w:sz w:val="28"/>
      <w:szCs w:val="28"/>
      <w:lang w:val="en-IN"/>
    </w:rPr>
  </w:style>
  <w:style w:type="paragraph" w:styleId="Heading4">
    <w:name w:val="heading 4"/>
    <w:basedOn w:val="Normal"/>
    <w:next w:val="Normal"/>
    <w:link w:val="Heading4Char"/>
    <w:uiPriority w:val="9"/>
    <w:semiHidden/>
    <w:unhideWhenUsed/>
    <w:qFormat/>
    <w:rsid w:val="00285122"/>
    <w:pPr>
      <w:keepNext/>
      <w:keepLines/>
      <w:spacing w:before="80" w:after="40"/>
      <w:outlineLvl w:val="3"/>
    </w:pPr>
    <w:rPr>
      <w:rFonts w:eastAsiaTheme="majorEastAsia" w:cstheme="majorBidi"/>
      <w:i/>
      <w:iCs/>
      <w:color w:val="0F4761" w:themeColor="accent1" w:themeShade="BF"/>
      <w:lang w:val="en-IN"/>
    </w:rPr>
  </w:style>
  <w:style w:type="paragraph" w:styleId="Heading5">
    <w:name w:val="heading 5"/>
    <w:basedOn w:val="Normal"/>
    <w:next w:val="Normal"/>
    <w:link w:val="Heading5Char"/>
    <w:uiPriority w:val="9"/>
    <w:semiHidden/>
    <w:unhideWhenUsed/>
    <w:qFormat/>
    <w:rsid w:val="00285122"/>
    <w:pPr>
      <w:keepNext/>
      <w:keepLines/>
      <w:spacing w:before="80" w:after="40"/>
      <w:outlineLvl w:val="4"/>
    </w:pPr>
    <w:rPr>
      <w:rFonts w:eastAsiaTheme="majorEastAsia" w:cstheme="majorBidi"/>
      <w:color w:val="0F4761" w:themeColor="accent1" w:themeShade="BF"/>
      <w:lang w:val="en-IN"/>
    </w:rPr>
  </w:style>
  <w:style w:type="paragraph" w:styleId="Heading6">
    <w:name w:val="heading 6"/>
    <w:basedOn w:val="Normal"/>
    <w:next w:val="Normal"/>
    <w:link w:val="Heading6Char"/>
    <w:uiPriority w:val="9"/>
    <w:semiHidden/>
    <w:unhideWhenUsed/>
    <w:qFormat/>
    <w:rsid w:val="00285122"/>
    <w:pPr>
      <w:keepNext/>
      <w:keepLines/>
      <w:spacing w:before="40" w:after="0"/>
      <w:outlineLvl w:val="5"/>
    </w:pPr>
    <w:rPr>
      <w:rFonts w:eastAsiaTheme="majorEastAsia" w:cstheme="majorBidi"/>
      <w:i/>
      <w:iCs/>
      <w:color w:val="595959" w:themeColor="text1" w:themeTint="A6"/>
      <w:lang w:val="en-IN"/>
    </w:rPr>
  </w:style>
  <w:style w:type="paragraph" w:styleId="Heading7">
    <w:name w:val="heading 7"/>
    <w:basedOn w:val="Normal"/>
    <w:next w:val="Normal"/>
    <w:link w:val="Heading7Char"/>
    <w:uiPriority w:val="9"/>
    <w:semiHidden/>
    <w:unhideWhenUsed/>
    <w:qFormat/>
    <w:rsid w:val="00285122"/>
    <w:pPr>
      <w:keepNext/>
      <w:keepLines/>
      <w:spacing w:before="40" w:after="0"/>
      <w:outlineLvl w:val="6"/>
    </w:pPr>
    <w:rPr>
      <w:rFonts w:eastAsiaTheme="majorEastAsia" w:cstheme="majorBidi"/>
      <w:color w:val="595959" w:themeColor="text1" w:themeTint="A6"/>
      <w:lang w:val="en-IN"/>
    </w:rPr>
  </w:style>
  <w:style w:type="paragraph" w:styleId="Heading8">
    <w:name w:val="heading 8"/>
    <w:basedOn w:val="Normal"/>
    <w:next w:val="Normal"/>
    <w:link w:val="Heading8Char"/>
    <w:uiPriority w:val="9"/>
    <w:semiHidden/>
    <w:unhideWhenUsed/>
    <w:qFormat/>
    <w:rsid w:val="00285122"/>
    <w:pPr>
      <w:keepNext/>
      <w:keepLines/>
      <w:spacing w:after="0"/>
      <w:outlineLvl w:val="7"/>
    </w:pPr>
    <w:rPr>
      <w:rFonts w:eastAsiaTheme="majorEastAsia" w:cstheme="majorBidi"/>
      <w:i/>
      <w:iCs/>
      <w:color w:val="272727" w:themeColor="text1" w:themeTint="D8"/>
      <w:lang w:val="en-IN"/>
    </w:rPr>
  </w:style>
  <w:style w:type="paragraph" w:styleId="Heading9">
    <w:name w:val="heading 9"/>
    <w:basedOn w:val="Normal"/>
    <w:next w:val="Normal"/>
    <w:link w:val="Heading9Char"/>
    <w:uiPriority w:val="9"/>
    <w:semiHidden/>
    <w:unhideWhenUsed/>
    <w:qFormat/>
    <w:rsid w:val="00285122"/>
    <w:pPr>
      <w:keepNext/>
      <w:keepLines/>
      <w:spacing w:after="0"/>
      <w:outlineLvl w:val="8"/>
    </w:pPr>
    <w:rPr>
      <w:rFonts w:eastAsiaTheme="majorEastAsia" w:cstheme="majorBidi"/>
      <w:color w:val="272727" w:themeColor="text1" w:themeTint="D8"/>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51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51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51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51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51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51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51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51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5122"/>
    <w:rPr>
      <w:rFonts w:eastAsiaTheme="majorEastAsia" w:cstheme="majorBidi"/>
      <w:color w:val="272727" w:themeColor="text1" w:themeTint="D8"/>
    </w:rPr>
  </w:style>
  <w:style w:type="paragraph" w:styleId="Title">
    <w:name w:val="Title"/>
    <w:basedOn w:val="Normal"/>
    <w:next w:val="Normal"/>
    <w:link w:val="TitleChar"/>
    <w:uiPriority w:val="10"/>
    <w:qFormat/>
    <w:rsid w:val="00285122"/>
    <w:pPr>
      <w:spacing w:after="80" w:line="240" w:lineRule="auto"/>
      <w:contextualSpacing/>
    </w:pPr>
    <w:rPr>
      <w:rFonts w:asciiTheme="majorHAnsi" w:eastAsiaTheme="majorEastAsia" w:hAnsiTheme="majorHAnsi" w:cstheme="majorBidi"/>
      <w:spacing w:val="-10"/>
      <w:kern w:val="28"/>
      <w:sz w:val="56"/>
      <w:szCs w:val="56"/>
      <w:lang w:val="en-IN"/>
    </w:rPr>
  </w:style>
  <w:style w:type="character" w:customStyle="1" w:styleId="TitleChar">
    <w:name w:val="Title Char"/>
    <w:basedOn w:val="DefaultParagraphFont"/>
    <w:link w:val="Title"/>
    <w:uiPriority w:val="10"/>
    <w:rsid w:val="002851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5122"/>
    <w:pPr>
      <w:numPr>
        <w:ilvl w:val="1"/>
      </w:numPr>
    </w:pPr>
    <w:rPr>
      <w:rFonts w:eastAsiaTheme="majorEastAsia" w:cstheme="majorBidi"/>
      <w:color w:val="595959" w:themeColor="text1" w:themeTint="A6"/>
      <w:spacing w:val="15"/>
      <w:sz w:val="28"/>
      <w:szCs w:val="28"/>
      <w:lang w:val="en-IN"/>
    </w:rPr>
  </w:style>
  <w:style w:type="character" w:customStyle="1" w:styleId="SubtitleChar">
    <w:name w:val="Subtitle Char"/>
    <w:basedOn w:val="DefaultParagraphFont"/>
    <w:link w:val="Subtitle"/>
    <w:uiPriority w:val="11"/>
    <w:rsid w:val="002851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5122"/>
    <w:pPr>
      <w:spacing w:before="160"/>
      <w:jc w:val="center"/>
    </w:pPr>
    <w:rPr>
      <w:i/>
      <w:iCs/>
      <w:color w:val="404040" w:themeColor="text1" w:themeTint="BF"/>
      <w:lang w:val="en-IN"/>
    </w:rPr>
  </w:style>
  <w:style w:type="character" w:customStyle="1" w:styleId="QuoteChar">
    <w:name w:val="Quote Char"/>
    <w:basedOn w:val="DefaultParagraphFont"/>
    <w:link w:val="Quote"/>
    <w:uiPriority w:val="29"/>
    <w:rsid w:val="00285122"/>
    <w:rPr>
      <w:i/>
      <w:iCs/>
      <w:color w:val="404040" w:themeColor="text1" w:themeTint="BF"/>
    </w:rPr>
  </w:style>
  <w:style w:type="paragraph" w:styleId="ListParagraph">
    <w:name w:val="List Paragraph"/>
    <w:basedOn w:val="Normal"/>
    <w:uiPriority w:val="34"/>
    <w:qFormat/>
    <w:rsid w:val="00285122"/>
    <w:pPr>
      <w:ind w:left="720"/>
      <w:contextualSpacing/>
    </w:pPr>
    <w:rPr>
      <w:lang w:val="en-IN"/>
    </w:rPr>
  </w:style>
  <w:style w:type="character" w:styleId="IntenseEmphasis">
    <w:name w:val="Intense Emphasis"/>
    <w:basedOn w:val="DefaultParagraphFont"/>
    <w:uiPriority w:val="21"/>
    <w:qFormat/>
    <w:rsid w:val="00285122"/>
    <w:rPr>
      <w:i/>
      <w:iCs/>
      <w:color w:val="0F4761" w:themeColor="accent1" w:themeShade="BF"/>
    </w:rPr>
  </w:style>
  <w:style w:type="paragraph" w:styleId="IntenseQuote">
    <w:name w:val="Intense Quote"/>
    <w:basedOn w:val="Normal"/>
    <w:next w:val="Normal"/>
    <w:link w:val="IntenseQuoteChar"/>
    <w:uiPriority w:val="30"/>
    <w:qFormat/>
    <w:rsid w:val="002851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en-IN"/>
    </w:rPr>
  </w:style>
  <w:style w:type="character" w:customStyle="1" w:styleId="IntenseQuoteChar">
    <w:name w:val="Intense Quote Char"/>
    <w:basedOn w:val="DefaultParagraphFont"/>
    <w:link w:val="IntenseQuote"/>
    <w:uiPriority w:val="30"/>
    <w:rsid w:val="00285122"/>
    <w:rPr>
      <w:i/>
      <w:iCs/>
      <w:color w:val="0F4761" w:themeColor="accent1" w:themeShade="BF"/>
    </w:rPr>
  </w:style>
  <w:style w:type="character" w:styleId="IntenseReference">
    <w:name w:val="Intense Reference"/>
    <w:basedOn w:val="DefaultParagraphFont"/>
    <w:uiPriority w:val="32"/>
    <w:qFormat/>
    <w:rsid w:val="00285122"/>
    <w:rPr>
      <w:b/>
      <w:bCs/>
      <w:smallCaps/>
      <w:color w:val="0F4761" w:themeColor="accent1" w:themeShade="BF"/>
      <w:spacing w:val="5"/>
    </w:rPr>
  </w:style>
  <w:style w:type="table" w:styleId="TableGrid">
    <w:name w:val="Table Grid"/>
    <w:basedOn w:val="TableNormal"/>
    <w:uiPriority w:val="59"/>
    <w:rsid w:val="00285122"/>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85122"/>
    <w:pPr>
      <w:tabs>
        <w:tab w:val="center" w:pos="4252"/>
        <w:tab w:val="right" w:pos="8504"/>
      </w:tabs>
      <w:spacing w:after="0" w:line="240" w:lineRule="auto"/>
    </w:pPr>
  </w:style>
  <w:style w:type="character" w:customStyle="1" w:styleId="FooterChar">
    <w:name w:val="Footer Char"/>
    <w:basedOn w:val="DefaultParagraphFont"/>
    <w:link w:val="Footer"/>
    <w:uiPriority w:val="99"/>
    <w:rsid w:val="00285122"/>
    <w:rPr>
      <w:lang w:val="pt-BR"/>
    </w:rPr>
  </w:style>
  <w:style w:type="character" w:styleId="LineNumber">
    <w:name w:val="line number"/>
    <w:basedOn w:val="DefaultParagraphFont"/>
    <w:uiPriority w:val="99"/>
    <w:semiHidden/>
    <w:unhideWhenUsed/>
    <w:rsid w:val="002851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422</Words>
  <Characters>2407</Characters>
  <Application>Microsoft Office Word</Application>
  <DocSecurity>0</DocSecurity>
  <Lines>20</Lines>
  <Paragraphs>5</Paragraphs>
  <ScaleCrop>false</ScaleCrop>
  <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2026-06-04T18:36:00Z</dcterms:created>
  <dcterms:modified xsi:type="dcterms:W3CDTF">2026-06-04T18:37:00Z</dcterms:modified>
</cp:coreProperties>
</file>