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Times New Roman" w:hAnsi="Times New Roman"/>
          <w:sz w:val="32"/>
        </w:rPr>
        <w:t>Supplementary File S2. SANRA Checklist</w:t>
      </w:r>
    </w:p>
    <w:p>
      <w:r>
        <w:rPr>
          <w:rFonts w:ascii="Times New Roman" w:hAnsi="Times New Roman"/>
          <w:sz w:val="20"/>
        </w:rPr>
        <w:t>Narrative review reporting was prepared with reference to the SANRA items for narrative review articles.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SANRA item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How addressed in manuscript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Location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Justification of the article’s importance for the readership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The introduction frames why racial bias in clinical AI is a health-systems and governance problem with implications for deployment, oversight, and equitable care.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Introduction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Statement of concrete aims or formulation of questions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Three research questions define the review’s analytic focus on evidence of bias, mechanisms, and mitigation strategies.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Introduction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Description of the literature search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Methods describes the structured search and refers readers to Supplementary File S1 for database-specific search strings and date limits.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Methods; Supplementary File S1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Referencing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Claims are supported with numbered references drawn from empirical studies, framework papers, and policy-relevant sources.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Throughout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Scientific reasoning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Results, critical synthesis, discussion, and conclusion connect empirical findings to mechanisms, governance implications, and implementation capacity.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Results through Conclusion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Appropriate presentation of data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Two summary tables organize inclusion/exclusion criteria and the mapping of mechanisms, harms, mitigation strategies, and governance levers.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20"/>
              </w:rPr>
              <w:t>Tables 1 and 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/>
      <w:i/>
      <w:iCs/>
      <w:color w:val="4F81BD" w:themeColor="accent1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