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FFCAC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Appendix: Complete Tables</w:t>
      </w:r>
    </w:p>
    <w:p w14:paraId="468D1CF7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 Table 1. Characteristics of Included Studies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6"/>
        <w:gridCol w:w="1489"/>
        <w:gridCol w:w="2038"/>
        <w:gridCol w:w="1433"/>
        <w:gridCol w:w="935"/>
        <w:gridCol w:w="2685"/>
      </w:tblGrid>
      <w:tr w:rsidR="003D5641" w14:paraId="0D24F3F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F85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D57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First Author, Year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B7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Study 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E6CD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Agent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5E0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Sample Size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0ECB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Dosing Schedules &amp; De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escalation Criteria</w:t>
            </w:r>
          </w:p>
        </w:tc>
      </w:tr>
      <w:tr w:rsidR="003D5641" w14:paraId="0ED889A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A81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83B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Garfall A / Popat R, 2024 [20]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FBA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single arm (MajesTEC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D64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5C7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1B4F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1.5 mg/kg SC QW → Q2W if ≥PR after ≥4 cycles (phase 1) or ≥CR for ≥6 mo (phase 2). 37/38 on treatment switched.</w:t>
            </w:r>
          </w:p>
        </w:tc>
      </w:tr>
      <w:tr w:rsidR="003D5641" w14:paraId="09D16C6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934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0BD5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Nooka AK, 2024 [25]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F68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specified secondary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E5D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4D2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241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Same as Study 1.</w:t>
            </w:r>
          </w:p>
        </w:tc>
      </w:tr>
      <w:tr w:rsidR="003D5641" w14:paraId="2AC799F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8BAC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6A5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Stork M, 2025 [23]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83DA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multicentre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16A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550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664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Weekly (n≈55) vs. early de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escalation (n≈18; within 1 month).</w:t>
            </w:r>
          </w:p>
        </w:tc>
      </w:tr>
      <w:tr w:rsidR="003D5641" w14:paraId="4452826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C4F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40E7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Snyder J, 2025 [17]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4B3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multicentre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277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FFC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BB4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Continuous QW (n=72) vs. fixed duration (stopped after ≥VGPR; n=16).</w:t>
            </w:r>
          </w:p>
        </w:tc>
      </w:tr>
      <w:tr w:rsidR="003D5641" w14:paraId="64E4871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A8C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6BD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Ishida T, 2024 [42]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90E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single arm (Japanese)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517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17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E13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1.5 mg/kg SC QW; Q2W after sustained response ≥6 mo.</w:t>
            </w:r>
          </w:p>
        </w:tc>
      </w:tr>
      <w:tr w:rsidR="003D5641" w14:paraId="084B78A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BA4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DB9A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Bahlis NJ, 2025 [30]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C61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Post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hoc PRO analysis (MagnetisMM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F70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D5B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8A3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 x 24 wks → Q2W. PRO data post switch.</w:t>
            </w:r>
          </w:p>
        </w:tc>
      </w:tr>
      <w:tr w:rsidR="003D5641" w14:paraId="1469E57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F8A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018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Prince HM / Pfizer, 2025 [21]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7B7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Post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hoc regulatory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CAC3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C35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28 (Q4W)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1EF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 x ≥6 cycles, then Q4W.</w:t>
            </w:r>
          </w:p>
        </w:tc>
      </w:tr>
      <w:tr w:rsidR="003D5641" w14:paraId="5CAA575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CF4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DB1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Mohty M, 2023 [22]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B91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2 single arm (EHA abstract)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8F9A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F5CE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077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 after 6 cycles.</w:t>
            </w:r>
          </w:p>
        </w:tc>
      </w:tr>
      <w:tr w:rsidR="003D5641" w14:paraId="0BC39BD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683A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2A4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Jakubowiak </w:t>
            </w:r>
            <w:r>
              <w:rPr>
                <w:rFonts w:ascii="Times New Roman" w:eastAsia="Times New Roman" w:hAnsi="Times New Roman"/>
                <w:lang w:val="en-US"/>
              </w:rPr>
              <w:t>2022 [18]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ED3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 dose escalation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E6A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201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D06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SC 80–1000 µg/kg QW or Q2W. RP2D: 76 mg QW.</w:t>
            </w:r>
          </w:p>
        </w:tc>
      </w:tr>
      <w:tr w:rsidR="003D5641" w14:paraId="05D678E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74B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AD5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Chari A, 2023 [19]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239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de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escalation cohorts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610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63FD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610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Cohort A: 0.8→0.4 mg/kg Q2W after PR; Cohort B: 0.8 mg/kg Q2W→Q4W after PR.</w:t>
            </w:r>
          </w:p>
        </w:tc>
      </w:tr>
      <w:tr w:rsidR="003D5641" w14:paraId="594A0BB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04B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A41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Schinke C, 2025 [24]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F3D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primary efficacy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87B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E2F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375 total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8D0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QW: 0.4 mg/kg (n=143); Q2W: 0.8 mg/kg (n=154); prior TCR (n=78).</w:t>
            </w:r>
          </w:p>
        </w:tc>
      </w:tr>
      <w:tr w:rsidR="003D5641" w14:paraId="67BF75F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EC6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25F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Al Hadidi S, 2025 [26]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880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multicentre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4C58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49A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1FF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Mixed; real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world dosing patterns.</w:t>
            </w:r>
          </w:p>
        </w:tc>
      </w:tr>
      <w:tr w:rsidR="003D5641" w14:paraId="4478F3B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3F4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74D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Chunara F, 2025 [27]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159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claims database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B48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 / Talq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6458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869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Real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world dosing intervals analysed.</w:t>
            </w:r>
          </w:p>
        </w:tc>
      </w:tr>
      <w:tr w:rsidR="003D5641" w14:paraId="7766901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C1C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79E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Elmeliegy M, 2025 [28]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97E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In silico QSP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1BE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66B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C94D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Simulated QW, Q2W, Q4W.</w:t>
            </w:r>
          </w:p>
        </w:tc>
      </w:tr>
    </w:tbl>
    <w:p w14:paraId="34B37A95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 Table 2. Patient Characteristics Across Studies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0"/>
        <w:gridCol w:w="1365"/>
        <w:gridCol w:w="1222"/>
        <w:gridCol w:w="793"/>
        <w:gridCol w:w="1780"/>
        <w:gridCol w:w="1225"/>
        <w:gridCol w:w="1701"/>
      </w:tblGrid>
      <w:tr w:rsidR="003D5641" w14:paraId="61A314B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7C1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Study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A57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Agent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F9C4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Median Age (y)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B30E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Male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D0F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High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risk Cytogenetics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F67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Median Prior Lines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FF6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Triple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class Refractory (%)</w:t>
            </w:r>
          </w:p>
        </w:tc>
      </w:tr>
      <w:tr w:rsidR="003D5641" w14:paraId="291607F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FD1E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880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41B3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 (33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84)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5B5B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52E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DDE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CD8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78</w:t>
            </w:r>
          </w:p>
        </w:tc>
      </w:tr>
      <w:tr w:rsidR="003D5641" w14:paraId="6874369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761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D3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EB5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865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58.2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8E5B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0B73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220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78</w:t>
            </w:r>
          </w:p>
        </w:tc>
      </w:tr>
      <w:tr w:rsidR="003D5641" w14:paraId="55589DB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F584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A88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87C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C33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1564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6D5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4C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 (68.5% penta)</w:t>
            </w:r>
          </w:p>
        </w:tc>
      </w:tr>
      <w:tr w:rsidR="003D5641" w14:paraId="407EB8D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796B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333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900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6697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7CD4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ADC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BA7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</w:tr>
      <w:tr w:rsidR="003D5641" w14:paraId="782C419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4C6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D0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6A3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 (34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82)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987C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1E4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CD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9F9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 (triple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class exposed)</w:t>
            </w:r>
          </w:p>
        </w:tc>
      </w:tr>
      <w:tr w:rsidR="003D5641" w14:paraId="295920E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E46B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4E6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2F5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66 (BCMA naïve)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1201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7D2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319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4C9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</w:tr>
      <w:tr w:rsidR="003D5641" w14:paraId="3E7AF17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1248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0F4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240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09B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072A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E50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643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</w:tr>
      <w:tr w:rsidR="003D5641" w14:paraId="35652AD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423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2BB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506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AD6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E3F8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434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DE27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</w:tr>
      <w:tr w:rsidR="003D5641" w14:paraId="7013C20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9A5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1CE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CB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E91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46F4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7D1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98B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91</w:t>
            </w:r>
          </w:p>
        </w:tc>
      </w:tr>
      <w:tr w:rsidR="003D5641" w14:paraId="40DB0E4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6C8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329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BA3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C72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C27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0C6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A0D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</w:tr>
      <w:tr w:rsidR="003D5641" w14:paraId="17D6ED7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A02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 (QW)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956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2F10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548E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719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4F6D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698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74 (triple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class exposed)</w:t>
            </w:r>
          </w:p>
        </w:tc>
      </w:tr>
      <w:tr w:rsidR="003D5641" w14:paraId="252674F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9C6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 (Q2W)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7DB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52B2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129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172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28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67B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79 (triple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class exposed)</w:t>
            </w:r>
          </w:p>
        </w:tc>
      </w:tr>
      <w:tr w:rsidR="003D5641" w14:paraId="2DFB127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B6C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50C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C3A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A92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9A8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8366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D058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</w:t>
            </w:r>
          </w:p>
        </w:tc>
      </w:tr>
      <w:tr w:rsidR="003D5641" w14:paraId="282B383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159E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366A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368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70 (31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6269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4BD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872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08E2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</w:tr>
      <w:tr w:rsidR="003D5641" w14:paraId="3F7B998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8E7C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ADE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9DB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66 (34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90)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0F5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FCE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1FA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4B0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</w:tr>
    </w:tbl>
    <w:p w14:paraId="03BD69D3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NR = Not reported; Triple</w:t>
      </w:r>
      <w:r>
        <w:rPr>
          <w:rFonts w:ascii="Times New Roman" w:eastAsia="Times New Roman" w:hAnsi="Times New Roman"/>
          <w:lang w:val="en-US"/>
        </w:rPr>
        <w:noBreakHyphen/>
        <w:t>class exposed = received PI/IMiD/anti</w:t>
      </w:r>
      <w:r>
        <w:rPr>
          <w:rFonts w:ascii="Times New Roman" w:eastAsia="Times New Roman" w:hAnsi="Times New Roman"/>
          <w:lang w:val="en-US"/>
        </w:rPr>
        <w:noBreakHyphen/>
        <w:t>CD38, refractoriness not always specified.</w:t>
      </w:r>
    </w:p>
    <w:p w14:paraId="1491635A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 Table 3. Efficacy Outcomes by Study and Dosing Schedule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366"/>
        <w:gridCol w:w="1780"/>
        <w:gridCol w:w="619"/>
        <w:gridCol w:w="585"/>
        <w:gridCol w:w="814"/>
        <w:gridCol w:w="890"/>
        <w:gridCol w:w="998"/>
        <w:gridCol w:w="1964"/>
      </w:tblGrid>
      <w:tr w:rsidR="003D5641" w14:paraId="5BA7A42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20C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Study (agent)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3FA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Dosing schedule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A1B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ORR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BE3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≥CR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7B4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Median PFS (mo)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51B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Median DOR (mo)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7CE7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MRD negativity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96D6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Response Maintenance post switch</w:t>
            </w:r>
          </w:p>
        </w:tc>
      </w:tr>
      <w:tr w:rsidR="003D5641" w14:paraId="29EFF4A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200F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 (Teclistamab) [20]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69B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403A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63.0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D38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46.1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460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304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24.0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A9B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85.7 (10⁻⁵)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82CE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100% (37/37)</w:t>
            </w:r>
          </w:p>
        </w:tc>
      </w:tr>
      <w:tr w:rsidR="003D5641" w14:paraId="39759C4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CB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 (Teclistamab) [23]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1E2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Weekly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AEB3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C0A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89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501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356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E789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5BFB5E9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9AE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 (Teclistamab) [23]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13E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Early de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escalation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DD6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A95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33DE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E76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AA3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0E1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0EE10A2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8F00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 (Teclistamab) [17]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B56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Continuous QW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42CD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35C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09C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37B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3D4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77F7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41089D9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B2C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 (Teclistamab) [17]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57D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Fixed duration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8ED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2BA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1D3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3FA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57C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C3F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0CADA02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9E6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5 (Teclistamab) [42]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211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CA43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76.9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489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65.4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2942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D78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 (not reached)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DA5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167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205BE4D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F37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 (Elranatamab) [21]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94D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QW→Q2W→Q4W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7CA2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04C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C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C4A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967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9AA6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92.6% (25/27) at 6 mo</w:t>
            </w:r>
          </w:p>
        </w:tc>
      </w:tr>
      <w:tr w:rsidR="003D5641" w14:paraId="2A305BA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3D1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 (Elranatamab) [22]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F502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QW→Q2W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D0B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338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400A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0AB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BDD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B2E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80.4% maintained/improved</w:t>
            </w:r>
          </w:p>
        </w:tc>
      </w:tr>
      <w:tr w:rsidR="003D5641" w14:paraId="7F27914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B71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 (Elranatamab) [18]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4A14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 (RP2D)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1C4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907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3A8F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65BC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D7B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100% (in ≥CR)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2DD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17C1F3F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E555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 (Talquetamab) [19]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F70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Q2W→ reduced dose/freq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89E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8CF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E1F8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17B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FFC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B2F4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“Most deepened/maintained”</w:t>
            </w:r>
          </w:p>
        </w:tc>
      </w:tr>
      <w:tr w:rsidR="003D5641" w14:paraId="22BBAC1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FD0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 (Talquetamab) [24]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311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QW (0.4)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0BA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1C3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~25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60E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314E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B8C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2921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4EA2DDCD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B9A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 (Talquetamab) [24]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2AD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Q2W (0.8)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202F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E86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~24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FC1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442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C77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7BE0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63FB5A19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DCA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 (Talquetamab) [26]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1B6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Real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world mixed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40B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A7D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AF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D726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F5D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9039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</w:tbl>
    <w:p w14:paraId="3CBC4B5F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 Table 4. Infection</w:t>
      </w:r>
      <w:r>
        <w:rPr>
          <w:rFonts w:ascii="Times New Roman" w:eastAsia="Times New Roman" w:hAnsi="Times New Roman"/>
          <w:b/>
          <w:bCs/>
          <w:lang w:val="en-US"/>
        </w:rPr>
        <w:noBreakHyphen/>
        <w:t>Related Toxicity by Study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730"/>
        <w:gridCol w:w="2187"/>
        <w:gridCol w:w="1823"/>
        <w:gridCol w:w="1410"/>
        <w:gridCol w:w="2866"/>
      </w:tblGrid>
      <w:tr w:rsidR="003D5641" w14:paraId="762E9A37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450A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Study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178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Agent / Schedule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F36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Any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grade Infection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799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Grade ≥3 Infection (%)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32E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Key Details</w:t>
            </w:r>
          </w:p>
        </w:tc>
      </w:tr>
      <w:tr w:rsidR="003D5641" w14:paraId="44DC332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344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65C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 overall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949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D35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ADDC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Median time to first G3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5: 4.2 mo; COVID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19 caused 18/22 deaths</w:t>
            </w:r>
          </w:p>
        </w:tc>
      </w:tr>
      <w:tr w:rsidR="003D5641" w14:paraId="330C281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462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A968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 weekly vs. early de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escalation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31C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“similar”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877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“similar”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F0C6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Exact rates NR</w:t>
            </w:r>
          </w:p>
        </w:tc>
      </w:tr>
      <w:tr w:rsidR="003D5641" w14:paraId="0858A994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84D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3CC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Teclistamab fixed duration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07F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89B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727A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0577BE1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54E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F0D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 QW phase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8C1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728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58.6¹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7DA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G3/4 AEs; 10% absolute reduction after Q2W</w:t>
            </w:r>
          </w:p>
        </w:tc>
      </w:tr>
      <w:tr w:rsidR="003D5641" w14:paraId="7AFCF691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629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776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 Q2W phase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31C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FE2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46.6¹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197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1ED3D063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211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734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 QW/Q2W phase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26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603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17.9²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0002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Grade 3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4 infections (denominator unclear)</w:t>
            </w:r>
          </w:p>
        </w:tc>
      </w:tr>
      <w:tr w:rsidR="003D5641" w14:paraId="01DED8C8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A1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B48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Elranatamab Q4W phase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AC9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D4A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10.7²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1D4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3F5787A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15A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F36F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 QW (0.4)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D47A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8180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BFA8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46440B3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E83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57A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 Q2W (0.8)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A12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211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897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2DC4E5E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3D2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4BF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Talquetamab real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world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D444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Cumulative 3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mo incidence 14%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5A2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FF8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59% viral, 41% bacterial; 61% IVIG use</w:t>
            </w:r>
          </w:p>
        </w:tc>
      </w:tr>
    </w:tbl>
    <w:p w14:paraId="75B5419C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¹ Includes all grade 3/4 adverse events, not solely infections.</w:t>
      </w:r>
      <w:r>
        <w:rPr>
          <w:rFonts w:ascii="Times New Roman" w:eastAsia="Times New Roman" w:hAnsi="Times New Roman"/>
          <w:lang w:val="en-US"/>
        </w:rPr>
        <w:br/>
        <w:t>² Grade 3</w:t>
      </w:r>
      <w:r>
        <w:rPr>
          <w:rFonts w:ascii="Times New Roman" w:eastAsia="Times New Roman" w:hAnsi="Times New Roman"/>
          <w:lang w:val="en-US"/>
        </w:rPr>
        <w:noBreakHyphen/>
        <w:t>4 infections specifically.</w:t>
      </w:r>
    </w:p>
    <w:p w14:paraId="45A2E453" w14:textId="77777777" w:rsidR="003D5641" w:rsidRDefault="003D5641" w:rsidP="003D5641">
      <w:pPr>
        <w:shd w:val="clear" w:color="auto" w:fill="FFFFFF"/>
        <w:spacing w:before="240" w:after="240" w:line="276" w:lineRule="auto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  <w:bCs/>
          <w:lang w:val="en-US"/>
        </w:rPr>
        <w:t>Appendix Table 5. Risk of Bias Summary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22"/>
        <w:gridCol w:w="1880"/>
        <w:gridCol w:w="1170"/>
        <w:gridCol w:w="1719"/>
        <w:gridCol w:w="3425"/>
      </w:tblGrid>
      <w:tr w:rsidR="003D5641" w14:paraId="6A8C645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E184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Study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F4C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Design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92F9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Tool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722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Overall Rating / Score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0D0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Major Limitation</w:t>
            </w:r>
          </w:p>
        </w:tc>
      </w:tr>
      <w:tr w:rsidR="003D5641" w14:paraId="5F18BF1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2A2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18F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single 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08B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ECF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887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 comparator; non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random switch</w:t>
            </w:r>
          </w:p>
        </w:tc>
      </w:tr>
      <w:tr w:rsidR="003D5641" w14:paraId="3B35B3AC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370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585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Secondary analysis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EF0E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CB73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B48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Single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arm parent study</w:t>
            </w:r>
          </w:p>
        </w:tc>
      </w:tr>
      <w:tr w:rsidR="003D5641" w14:paraId="2E6EDFF0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9C2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5A01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cohort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925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AA0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4/9 stars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BF47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Inadequate comparability control, short follow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up</w:t>
            </w:r>
          </w:p>
        </w:tc>
      </w:tr>
      <w:tr w:rsidR="003D5641" w14:paraId="3C213796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B81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FB274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cohort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DE83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2DBF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5/9 stars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D6A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Partial comparability, short follow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up</w:t>
            </w:r>
          </w:p>
        </w:tc>
      </w:tr>
      <w:tr w:rsidR="003D5641" w14:paraId="2A36088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4AA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4099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single arm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FF26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C3C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FD1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 comparator</w:t>
            </w:r>
          </w:p>
        </w:tc>
      </w:tr>
      <w:tr w:rsidR="003D5641" w14:paraId="262A2E3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25DE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CB4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Post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hoc PRO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9150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6F1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362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Single arm, selected subset</w:t>
            </w:r>
          </w:p>
        </w:tc>
      </w:tr>
      <w:tr w:rsidR="003D5641" w14:paraId="5D690DCE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EED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BB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Press release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D13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89CE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Not assessable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F76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</w:tr>
      <w:tr w:rsidR="003D5641" w14:paraId="56A7321B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3765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F0381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2 (abstract)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2BE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0088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E0F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Single arm, non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random switch</w:t>
            </w:r>
          </w:p>
        </w:tc>
      </w:tr>
      <w:tr w:rsidR="003D5641" w14:paraId="49A1D3DF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A0F7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653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906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996F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5307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 comparator</w:t>
            </w:r>
          </w:p>
        </w:tc>
      </w:tr>
      <w:tr w:rsidR="003D5641" w14:paraId="64BEE5B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9EF2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8562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cohorts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E03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CEFC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95E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Non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random cohort assignment</w:t>
            </w:r>
          </w:p>
        </w:tc>
      </w:tr>
      <w:tr w:rsidR="003D5641" w14:paraId="2862F7A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377C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44A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Phase 1/2 primary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5B6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ROBINS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B37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Moderate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F043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Non</w:t>
            </w:r>
            <w:r>
              <w:rPr>
                <w:rFonts w:ascii="Times New Roman" w:eastAsia="Times New Roman" w:hAnsi="Times New Roman"/>
                <w:lang w:val="en-US"/>
              </w:rPr>
              <w:noBreakHyphen/>
              <w:t>random dosing schedules</w:t>
            </w:r>
          </w:p>
        </w:tc>
      </w:tr>
      <w:tr w:rsidR="003D5641" w14:paraId="13E965E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CB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BC2A7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cohort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333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C2AB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6/9 stars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D83D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 concurrent comparator</w:t>
            </w:r>
          </w:p>
        </w:tc>
      </w:tr>
      <w:tr w:rsidR="003D5641" w14:paraId="43AACD85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AB79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4462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Retrospective database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2E2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841A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3/9 stars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0D5E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Claims data limitations, minimal confounding control</w:t>
            </w:r>
          </w:p>
        </w:tc>
      </w:tr>
      <w:tr w:rsidR="003D5641" w14:paraId="0F6CCC12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B2F8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C0298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In silico model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C8145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1E3E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Not applicable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F2D6" w14:textId="77777777" w:rsidR="003D5641" w:rsidRDefault="003D5641">
            <w:pPr>
              <w:spacing w:after="0" w:line="276" w:lineRule="auto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lang w:val="en-US"/>
              </w:rPr>
              <w:t>Not a clinical study</w:t>
            </w:r>
          </w:p>
        </w:tc>
      </w:tr>
    </w:tbl>
    <w:p w14:paraId="5BDD7739" w14:textId="77777777" w:rsidR="003D5641" w:rsidRDefault="003D5641" w:rsidP="003D5641">
      <w:pPr>
        <w:pStyle w:val="Heading2"/>
        <w:shd w:val="clear" w:color="auto" w:fill="FFFFFF"/>
        <w:spacing w:after="240" w:line="276" w:lineRule="auto"/>
        <w:rPr>
          <w:rFonts w:ascii="Times New Roman" w:hAnsi="Times New Roman" w:cs="Times New Roman"/>
          <w:b/>
          <w:color w:val="auto"/>
          <w:sz w:val="22"/>
          <w:szCs w:val="22"/>
          <w:lang w:val="en-GB"/>
        </w:rPr>
      </w:pPr>
    </w:p>
    <w:p w14:paraId="31894AB3" w14:textId="77777777" w:rsidR="00767E38" w:rsidRDefault="00767E38"/>
    <w:sectPr w:rsidR="00767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41"/>
    <w:rsid w:val="003D5641"/>
    <w:rsid w:val="00612EA1"/>
    <w:rsid w:val="00767E38"/>
    <w:rsid w:val="00866F7D"/>
    <w:rsid w:val="00EE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D4F1"/>
  <w15:chartTrackingRefBased/>
  <w15:docId w15:val="{E29EC271-A60E-4BA7-BDA0-5D2E6D74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41"/>
    <w:pPr>
      <w:spacing w:after="200" w:line="240" w:lineRule="auto"/>
    </w:pPr>
    <w:rPr>
      <w:rFonts w:ascii="Garamond" w:eastAsia="Calibri" w:hAnsi="Garamond" w:cs="Times New Roman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6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6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6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6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6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64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64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64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64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6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6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6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6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D5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6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D5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6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D56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6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D56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6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6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5641"/>
    <w:pPr>
      <w:spacing w:after="0" w:line="240" w:lineRule="auto"/>
    </w:pPr>
    <w:rPr>
      <w:rFonts w:ascii="Arial" w:eastAsia="Calibri" w:hAnsi="Arial" w:cs="Arial"/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Bhushan Tandale</dc:creator>
  <cp:keywords/>
  <dc:description/>
  <cp:lastModifiedBy>Bhushan Tandale</cp:lastModifiedBy>
  <cp:revision>1</cp:revision>
  <dcterms:created xsi:type="dcterms:W3CDTF">2026-06-11T10:17:00Z</dcterms:created>
  <dcterms:modified xsi:type="dcterms:W3CDTF">2026-06-11T10:17:00Z</dcterms:modified>
</cp:coreProperties>
</file>