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11AE" w:rsidRPr="00E97FD6" w:rsidRDefault="00A911AE" w:rsidP="00A911AE">
      <w:pPr>
        <w:outlineLvl w:val="0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E97FD6">
        <w:rPr>
          <w:rFonts w:ascii="Times New Roman" w:hAnsi="Times New Roman" w:cs="Times New Roman"/>
          <w:b/>
          <w:sz w:val="24"/>
          <w:szCs w:val="24"/>
          <w:lang w:val="en-GB"/>
        </w:rPr>
        <w:t>Supplementary Tables/Figures:</w:t>
      </w:r>
    </w:p>
    <w:p w:rsidR="00A911AE" w:rsidRPr="00E97FD6" w:rsidRDefault="00A911AE" w:rsidP="00A911AE">
      <w:pPr>
        <w:pStyle w:val="Heading1"/>
        <w:rPr>
          <w:lang w:val="en-GB"/>
        </w:rPr>
      </w:pPr>
      <w:r w:rsidRPr="00E97FD6">
        <w:rPr>
          <w:lang w:val="en-GB"/>
        </w:rPr>
        <w:t>Supplementary Table 1: Subgroup allocation by baseline mood symptom severity in open label and randomised phases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4"/>
        <w:gridCol w:w="1638"/>
        <w:gridCol w:w="1611"/>
        <w:gridCol w:w="1611"/>
        <w:gridCol w:w="1612"/>
      </w:tblGrid>
      <w:tr w:rsidR="00A911AE" w:rsidRPr="00E97FD6" w:rsidTr="00B04F04">
        <w:tc>
          <w:tcPr>
            <w:tcW w:w="2689" w:type="dxa"/>
            <w:vMerge w:val="restart"/>
          </w:tcPr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br/>
            </w:r>
          </w:p>
        </w:tc>
        <w:tc>
          <w:tcPr>
            <w:tcW w:w="1665" w:type="dxa"/>
          </w:tcPr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OL phase Full Analysis Population</w:t>
            </w:r>
          </w:p>
        </w:tc>
        <w:tc>
          <w:tcPr>
            <w:tcW w:w="4996" w:type="dxa"/>
            <w:gridSpan w:val="3"/>
          </w:tcPr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RD Phase Full Analysis Population</w:t>
            </w:r>
          </w:p>
        </w:tc>
      </w:tr>
      <w:tr w:rsidR="00A911AE" w:rsidRPr="00E97FD6" w:rsidTr="00B04F04">
        <w:tc>
          <w:tcPr>
            <w:tcW w:w="2689" w:type="dxa"/>
            <w:vMerge/>
          </w:tcPr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1665" w:type="dxa"/>
          </w:tcPr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LTG</w:t>
            </w:r>
          </w:p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(n=416)</w:t>
            </w:r>
          </w:p>
        </w:tc>
        <w:tc>
          <w:tcPr>
            <w:tcW w:w="1665" w:type="dxa"/>
          </w:tcPr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PBO</w:t>
            </w:r>
          </w:p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(n=133)</w:t>
            </w:r>
          </w:p>
        </w:tc>
        <w:tc>
          <w:tcPr>
            <w:tcW w:w="1665" w:type="dxa"/>
          </w:tcPr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LTG</w:t>
            </w:r>
          </w:p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(n=130)</w:t>
            </w:r>
          </w:p>
        </w:tc>
        <w:tc>
          <w:tcPr>
            <w:tcW w:w="1666" w:type="dxa"/>
          </w:tcPr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Total</w:t>
            </w:r>
          </w:p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(n=263)</w:t>
            </w:r>
          </w:p>
        </w:tc>
      </w:tr>
      <w:tr w:rsidR="00A911AE" w:rsidRPr="00E97FD6" w:rsidTr="00B04F04">
        <w:tc>
          <w:tcPr>
            <w:tcW w:w="2689" w:type="dxa"/>
          </w:tcPr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CGI-S≥4, n (%)</w:t>
            </w:r>
          </w:p>
        </w:tc>
        <w:tc>
          <w:tcPr>
            <w:tcW w:w="1665" w:type="dxa"/>
          </w:tcPr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243 (58.4)</w:t>
            </w:r>
          </w:p>
        </w:tc>
        <w:tc>
          <w:tcPr>
            <w:tcW w:w="1665" w:type="dxa"/>
          </w:tcPr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74 (55.6)</w:t>
            </w:r>
          </w:p>
        </w:tc>
        <w:tc>
          <w:tcPr>
            <w:tcW w:w="1665" w:type="dxa"/>
          </w:tcPr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76 (58.5)</w:t>
            </w:r>
          </w:p>
        </w:tc>
        <w:tc>
          <w:tcPr>
            <w:tcW w:w="1666" w:type="dxa"/>
          </w:tcPr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150 (57.0)</w:t>
            </w:r>
          </w:p>
        </w:tc>
      </w:tr>
      <w:tr w:rsidR="00A911AE" w:rsidRPr="00E97FD6" w:rsidTr="00B04F04">
        <w:tc>
          <w:tcPr>
            <w:tcW w:w="2689" w:type="dxa"/>
          </w:tcPr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HAMD ≥18 or YMRS ≥10, n (%)</w:t>
            </w:r>
          </w:p>
        </w:tc>
        <w:tc>
          <w:tcPr>
            <w:tcW w:w="1665" w:type="dxa"/>
          </w:tcPr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257 (61.8)</w:t>
            </w:r>
          </w:p>
        </w:tc>
        <w:tc>
          <w:tcPr>
            <w:tcW w:w="1665" w:type="dxa"/>
          </w:tcPr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77 (57.9)</w:t>
            </w:r>
          </w:p>
        </w:tc>
        <w:tc>
          <w:tcPr>
            <w:tcW w:w="1665" w:type="dxa"/>
          </w:tcPr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79 (60.8)</w:t>
            </w:r>
          </w:p>
        </w:tc>
        <w:tc>
          <w:tcPr>
            <w:tcW w:w="1666" w:type="dxa"/>
          </w:tcPr>
          <w:p w:rsidR="00A911AE" w:rsidRPr="00E97FD6" w:rsidRDefault="00A911AE" w:rsidP="00B04F04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97FD6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156 (59.3)</w:t>
            </w:r>
          </w:p>
        </w:tc>
      </w:tr>
    </w:tbl>
    <w:p w:rsidR="00A911AE" w:rsidRPr="00E97FD6" w:rsidRDefault="00A911AE" w:rsidP="00A911AE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  <w:sectPr w:rsidR="00A911AE" w:rsidRPr="00E97FD6" w:rsidSect="00F5662C">
          <w:headerReference w:type="default" r:id="rId4"/>
          <w:footerReference w:type="default" r:id="rId5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E97FD6">
        <w:rPr>
          <w:rFonts w:ascii="Times New Roman" w:hAnsi="Times New Roman" w:cs="Times New Roman"/>
          <w:sz w:val="24"/>
          <w:szCs w:val="24"/>
          <w:lang w:val="en-GB"/>
        </w:rPr>
        <w:t>CGI-S, Clinical Global Impressions of Severity; HAMD, Hamilton Depression Scale; YMRS, Young Mania Rating Scale; LTG, lamotrigine; OL, open-label; PBO, placebo, RD, randomised double-blind.</w:t>
      </w:r>
    </w:p>
    <w:p w:rsidR="00A911AE" w:rsidRPr="00E97FD6" w:rsidRDefault="00A911AE" w:rsidP="00A911AE">
      <w:pPr>
        <w:rPr>
          <w:lang w:val="en-GB"/>
        </w:rPr>
      </w:pPr>
    </w:p>
    <w:p w:rsidR="00A911AE" w:rsidRPr="00E97FD6" w:rsidRDefault="00A911AE" w:rsidP="00A911AE">
      <w:pPr>
        <w:pStyle w:val="Heading1"/>
        <w:rPr>
          <w:lang w:val="en-GB"/>
        </w:rPr>
      </w:pPr>
      <w:r w:rsidRPr="00E97FD6">
        <w:rPr>
          <w:lang w:val="en-GB"/>
        </w:rPr>
        <w:t>Supplementary Figure 1: Study design</w:t>
      </w:r>
    </w:p>
    <w:p w:rsidR="00A911AE" w:rsidRPr="00E97FD6" w:rsidRDefault="00A911AE" w:rsidP="00A911AE">
      <w:pPr>
        <w:pStyle w:val="Heading1"/>
        <w:rPr>
          <w:lang w:val="en-GB"/>
        </w:rPr>
      </w:pPr>
      <w:r w:rsidRPr="00E97FD6">
        <w:rPr>
          <w:noProof/>
        </w:rPr>
        <w:drawing>
          <wp:inline distT="0" distB="0" distL="0" distR="0" wp14:anchorId="5773E9F8" wp14:editId="14E3A0C5">
            <wp:extent cx="5773420" cy="237744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420" cy="2377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911AE" w:rsidRPr="00E97FD6" w:rsidRDefault="00A911AE" w:rsidP="00A911AE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A911AE" w:rsidRPr="00E97FD6" w:rsidRDefault="00A911AE" w:rsidP="00A911AE">
      <w:pPr>
        <w:rPr>
          <w:lang w:val="en-GB"/>
        </w:rPr>
      </w:pPr>
    </w:p>
    <w:p w:rsidR="00A911AE" w:rsidRDefault="00A911AE" w:rsidP="00A911AE"/>
    <w:p w:rsidR="002F0F5E" w:rsidRDefault="00A911AE">
      <w:bookmarkStart w:id="0" w:name="_GoBack"/>
      <w:bookmarkEnd w:id="0"/>
    </w:p>
    <w:sectPr w:rsidR="002F0F5E" w:rsidSect="00B12B5C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03118758"/>
      <w:docPartObj>
        <w:docPartGallery w:val="Page Numbers (Bottom of Page)"/>
        <w:docPartUnique/>
      </w:docPartObj>
    </w:sdtPr>
    <w:sdtEndPr/>
    <w:sdtContent>
      <w:p w:rsidR="00AC16B9" w:rsidRDefault="00A911A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C16B9" w:rsidRDefault="00A911A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71534416"/>
      <w:docPartObj>
        <w:docPartGallery w:val="Page Numbers (Bottom of Page)"/>
        <w:docPartUnique/>
      </w:docPartObj>
    </w:sdtPr>
    <w:sdtEndPr/>
    <w:sdtContent>
      <w:p w:rsidR="00AC16B9" w:rsidRDefault="00A911A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C16B9" w:rsidRDefault="00A911A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6B9" w:rsidRDefault="00A911A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1AE"/>
    <w:rsid w:val="0021090F"/>
    <w:rsid w:val="00A911AE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97E807-4D5E-4DB0-9CE4-50E32294D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11AE"/>
    <w:pPr>
      <w:spacing w:after="200" w:line="276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11AE"/>
    <w:pPr>
      <w:spacing w:line="480" w:lineRule="auto"/>
      <w:outlineLvl w:val="0"/>
    </w:pPr>
    <w:rPr>
      <w:rFonts w:ascii="Times New Roman" w:hAnsi="Times New Roman" w:cs="Times New Roman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11AE"/>
    <w:rPr>
      <w:rFonts w:ascii="Times New Roman" w:eastAsiaTheme="minorEastAsia" w:hAnsi="Times New Roman" w:cs="Times New Roman"/>
      <w:b/>
      <w:sz w:val="24"/>
      <w:szCs w:val="24"/>
    </w:rPr>
  </w:style>
  <w:style w:type="table" w:styleId="TableGrid">
    <w:name w:val="Table Grid"/>
    <w:basedOn w:val="TableNormal"/>
    <w:uiPriority w:val="59"/>
    <w:rsid w:val="00A911AE"/>
    <w:pPr>
      <w:spacing w:after="0" w:line="240" w:lineRule="auto"/>
    </w:pPr>
    <w:rPr>
      <w:rFonts w:eastAsiaTheme="minorEastAsia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911AE"/>
    <w:pPr>
      <w:tabs>
        <w:tab w:val="center" w:pos="4680"/>
        <w:tab w:val="right" w:pos="9360"/>
      </w:tabs>
      <w:spacing w:after="0" w:line="240" w:lineRule="auto"/>
    </w:pPr>
    <w:rPr>
      <w:lang w:eastAsia="zh-TW"/>
    </w:rPr>
  </w:style>
  <w:style w:type="character" w:customStyle="1" w:styleId="HeaderChar">
    <w:name w:val="Header Char"/>
    <w:basedOn w:val="DefaultParagraphFont"/>
    <w:link w:val="Header"/>
    <w:uiPriority w:val="99"/>
    <w:rsid w:val="00A911AE"/>
    <w:rPr>
      <w:rFonts w:eastAsiaTheme="minorEastAsia"/>
      <w:lang w:eastAsia="zh-TW"/>
    </w:rPr>
  </w:style>
  <w:style w:type="paragraph" w:styleId="Footer">
    <w:name w:val="footer"/>
    <w:basedOn w:val="Normal"/>
    <w:link w:val="FooterChar"/>
    <w:uiPriority w:val="99"/>
    <w:unhideWhenUsed/>
    <w:rsid w:val="00A91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11AE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2021-10-19T14:24:00Z</dcterms:created>
  <dcterms:modified xsi:type="dcterms:W3CDTF">2021-10-19T14:25:00Z</dcterms:modified>
</cp:coreProperties>
</file>