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B855B5B" w14:textId="77777777" w:rsidR="00E735AF" w:rsidRPr="00F475E8" w:rsidRDefault="00E735AF" w:rsidP="00E735AF">
      <w:pPr>
        <w:widowControl/>
        <w:spacing w:after="100" w:afterAutospacing="1"/>
        <w:outlineLvl w:val="1"/>
        <w:rPr>
          <w:rFonts w:eastAsia="PMingLiU"/>
          <w:b/>
          <w:bCs/>
          <w:sz w:val="28"/>
          <w:szCs w:val="28"/>
        </w:rPr>
      </w:pPr>
      <w:r>
        <w:rPr>
          <w:rFonts w:eastAsia="PMingLiU"/>
          <w:b/>
          <w:bCs/>
          <w:sz w:val="28"/>
          <w:szCs w:val="28"/>
        </w:rPr>
        <w:t>Supplementary Information</w:t>
      </w:r>
    </w:p>
    <w:p w14:paraId="160E5919" w14:textId="77777777" w:rsidR="00E735AF" w:rsidRPr="00F475E8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t>Supplementary Table S1.</w:t>
      </w:r>
      <w:r>
        <w:rPr>
          <w:rFonts w:eastAsia="PMingLiU"/>
        </w:rPr>
        <w:t xml:space="preserve"> Geochemical analysis of cobalt-decorated areas (EDXRF).</w:t>
      </w:r>
    </w:p>
    <w:p w14:paraId="3F7CDFE9" w14:textId="77777777" w:rsidR="00E735AF" w:rsidRPr="00F475E8" w:rsidRDefault="00E735AF" w:rsidP="00E735AF">
      <w:pPr>
        <w:widowControl/>
        <w:spacing w:after="100" w:afterAutospacing="1"/>
        <w:ind w:left="360"/>
        <w:rPr>
          <w:rFonts w:eastAsia="PMingLi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A0068B6" wp14:editId="7CBE1955">
                <wp:simplePos x="0" y="0"/>
                <wp:positionH relativeFrom="column">
                  <wp:posOffset>883920</wp:posOffset>
                </wp:positionH>
                <wp:positionV relativeFrom="paragraph">
                  <wp:posOffset>3617684</wp:posOffset>
                </wp:positionV>
                <wp:extent cx="1875613" cy="1067149"/>
                <wp:effectExtent l="12700" t="12700" r="17145" b="12700"/>
                <wp:wrapNone/>
                <wp:docPr id="1975754416" name="群組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5613" cy="1067149"/>
                          <a:chOff x="0" y="0"/>
                          <a:chExt cx="1875613" cy="1067149"/>
                        </a:xfrm>
                      </wpg:grpSpPr>
                      <wps:wsp>
                        <wps:cNvPr id="1217147405" name="矩形 8"/>
                        <wps:cNvSpPr/>
                        <wps:spPr>
                          <a:xfrm>
                            <a:off x="0" y="162283"/>
                            <a:ext cx="1875613" cy="9986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28293972" name="矩形 8"/>
                        <wps:cNvSpPr/>
                        <wps:spPr>
                          <a:xfrm>
                            <a:off x="0" y="0"/>
                            <a:ext cx="1875613" cy="99867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9661399" name="矩形 8"/>
                        <wps:cNvSpPr/>
                        <wps:spPr>
                          <a:xfrm>
                            <a:off x="0" y="967454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C19AF3D" id="群組 9" o:spid="_x0000_s1026" style="position:absolute;margin-left:69.6pt;margin-top:284.85pt;width:147.7pt;height:84.05pt;z-index:251659264" coordsize="18756,106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">
                <v:rect id="矩形 8" o:spid="_x0000_s1027" style="position:absolute;top:1622;width:18756;height:99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" filled="f" strokecolor="#e00" strokeweight="1.5pt"/>
                <v:rect id="矩形 8" o:spid="_x0000_s1028" style="position:absolute;width:18756;height:99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" filled="f" strokecolor="#e00" strokeweight="1.5pt"/>
                <v:rect id="矩形 8" o:spid="_x0000_s1029" style="position:absolute;top:9674;width:18751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" filled="f" strokecolor="#e00" strokeweight="1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23DEBE9A" wp14:editId="3342E300">
            <wp:extent cx="4923693" cy="6965254"/>
            <wp:effectExtent l="0" t="0" r="0" b="7620"/>
            <wp:docPr id="2007962317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127" cy="70083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4A6C097" w14:textId="77777777" w:rsidR="00E735AF" w:rsidRPr="00F475E8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lastRenderedPageBreak/>
        <w:t>Supplementary Table S2.</w:t>
      </w:r>
      <w:r>
        <w:rPr>
          <w:rFonts w:eastAsia="PMingLiU"/>
        </w:rPr>
        <w:t xml:space="preserve"> Geochemical analysis of the ceramic body at the foot ring (EDXRF).</w:t>
      </w:r>
    </w:p>
    <w:p w14:paraId="7C373D9D" w14:textId="77777777" w:rsidR="00E735AF" w:rsidRPr="00F475E8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280B54AA" wp14:editId="55BBB32E">
                <wp:simplePos x="0" y="0"/>
                <wp:positionH relativeFrom="column">
                  <wp:posOffset>1083945</wp:posOffset>
                </wp:positionH>
                <wp:positionV relativeFrom="paragraph">
                  <wp:posOffset>5111204</wp:posOffset>
                </wp:positionV>
                <wp:extent cx="1878276" cy="258857"/>
                <wp:effectExtent l="12700" t="12700" r="14605" b="8255"/>
                <wp:wrapNone/>
                <wp:docPr id="254790136" name="群組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878276" cy="258857"/>
                          <a:chOff x="0" y="0"/>
                          <a:chExt cx="1878276" cy="258857"/>
                        </a:xfrm>
                      </wpg:grpSpPr>
                      <wps:wsp>
                        <wps:cNvPr id="1549304075" name="矩形 8"/>
                        <wps:cNvSpPr/>
                        <wps:spPr>
                          <a:xfrm>
                            <a:off x="3121" y="159162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65224949" name="矩形 8"/>
                        <wps:cNvSpPr/>
                        <wps:spPr>
                          <a:xfrm>
                            <a:off x="0" y="0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9041A07" id="群組 10" o:spid="_x0000_s1026" style="position:absolute;margin-left:85.35pt;margin-top:402.45pt;width:147.9pt;height:20.4pt;z-index:251660288" coordsize="18782,258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">
                <v:rect id="矩形 8" o:spid="_x0000_s1027" style="position:absolute;left:31;top:1591;width:18751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" filled="f" strokecolor="#e00" strokeweight="1.5pt"/>
                <v:rect id="矩形 8" o:spid="_x0000_s1028" style="position:absolute;width:18751;height: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" filled="f" strokecolor="#e00" strokeweight="1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CD5D91C" wp14:editId="52F6C224">
            <wp:extent cx="4963548" cy="7021634"/>
            <wp:effectExtent l="0" t="0" r="8890" b="8255"/>
            <wp:docPr id="1870502298" name="圖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7569" cy="70414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E43AB4A" w14:textId="77777777" w:rsidR="00E735AF" w:rsidRPr="00F475E8" w:rsidRDefault="00E735AF" w:rsidP="00E735AF">
      <w:pPr>
        <w:widowControl/>
        <w:spacing w:after="100" w:afterAutospacing="1"/>
        <w:ind w:left="720"/>
        <w:rPr>
          <w:rFonts w:eastAsia="PMingLiU"/>
        </w:rPr>
      </w:pPr>
    </w:p>
    <w:p w14:paraId="350F2E72" w14:textId="77777777" w:rsidR="00E735AF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lastRenderedPageBreak/>
        <w:t>Supplementary Table S3.</w:t>
      </w:r>
      <w:r>
        <w:rPr>
          <w:rFonts w:eastAsia="PMingLiU"/>
        </w:rPr>
        <w:t xml:space="preserve"> Geochemical analysis of the base white glaze (EDXRF).</w:t>
      </w:r>
    </w:p>
    <w:p w14:paraId="227588EF" w14:textId="77777777" w:rsidR="00E735AF" w:rsidRDefault="00E735AF" w:rsidP="00E735AF">
      <w:pPr>
        <w:widowControl/>
        <w:spacing w:after="100" w:afterAutospacing="1"/>
        <w:rPr>
          <w:rFonts w:eastAsia="PMingLiU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F82B70B" wp14:editId="34B50447">
                <wp:simplePos x="0" y="0"/>
                <wp:positionH relativeFrom="column">
                  <wp:posOffset>675005</wp:posOffset>
                </wp:positionH>
                <wp:positionV relativeFrom="paragraph">
                  <wp:posOffset>3340824</wp:posOffset>
                </wp:positionV>
                <wp:extent cx="1900122" cy="1241915"/>
                <wp:effectExtent l="12700" t="12700" r="17780" b="15875"/>
                <wp:wrapNone/>
                <wp:docPr id="1370098621" name="群組 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00122" cy="1241915"/>
                          <a:chOff x="0" y="0"/>
                          <a:chExt cx="1900122" cy="1241915"/>
                        </a:xfrm>
                      </wpg:grpSpPr>
                      <wps:wsp>
                        <wps:cNvPr id="1774660653" name="矩形 8"/>
                        <wps:cNvSpPr/>
                        <wps:spPr>
                          <a:xfrm>
                            <a:off x="24967" y="0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710068860" name="矩形 8"/>
                        <wps:cNvSpPr/>
                        <wps:spPr>
                          <a:xfrm>
                            <a:off x="0" y="973695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81179382" name="矩形 8"/>
                        <wps:cNvSpPr/>
                        <wps:spPr>
                          <a:xfrm>
                            <a:off x="0" y="1142220"/>
                            <a:ext cx="1875155" cy="99695"/>
                          </a:xfrm>
                          <a:prstGeom prst="rect">
                            <a:avLst/>
                          </a:prstGeom>
                          <a:noFill/>
                          <a:ln w="19050" cap="flat" cmpd="sng" algn="ctr">
                            <a:solidFill>
                              <a:srgbClr val="EE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4BF1351" id="群組 11" o:spid="_x0000_s1026" style="position:absolute;margin-left:53.15pt;margin-top:263.05pt;width:149.6pt;height:97.8pt;z-index:251661312" coordsize="19001,124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">
                <v:rect id="矩形 8" o:spid="_x0000_s1027" style="position:absolute;left:249;width:18752;height:99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" filled="f" strokecolor="#e00" strokeweight="1.5pt"/>
                <v:rect id="矩形 8" o:spid="_x0000_s1028" style="position:absolute;top:9736;width:18751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" filled="f" strokecolor="#e00" strokeweight="1.5pt"/>
                <v:rect id="矩形 8" o:spid="_x0000_s1029" style="position:absolute;top:11422;width:18751;height:99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" filled="f" strokecolor="#e00" strokeweight="1.5pt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1F71E51F" wp14:editId="6F6F9B1E">
            <wp:extent cx="4982734" cy="7048775"/>
            <wp:effectExtent l="0" t="0" r="8890" b="0"/>
            <wp:docPr id="2042944478" name="圖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5471" cy="7080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12F12C" w14:textId="77777777" w:rsidR="00E735AF" w:rsidRDefault="00E735AF" w:rsidP="00E735AF">
      <w:pPr>
        <w:widowControl/>
        <w:spacing w:after="100" w:afterAutospacing="1"/>
        <w:rPr>
          <w:rFonts w:eastAsia="PMingLiU"/>
        </w:rPr>
      </w:pPr>
    </w:p>
    <w:p w14:paraId="7BBAEF3C" w14:textId="77777777" w:rsidR="00E735AF" w:rsidRPr="007E2072" w:rsidRDefault="00E735AF" w:rsidP="00E735AF">
      <w:pPr>
        <w:pStyle w:val="ListParagraph"/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b/>
          <w:bCs/>
        </w:rPr>
        <w:lastRenderedPageBreak/>
        <w:t>Supplementary Table S4.</w:t>
      </w:r>
      <w:r>
        <w:t xml:space="preserve"> Calculation of Geometric Spillover Correction for Rb/Sr Ratio</w:t>
      </w:r>
    </w:p>
    <w:tbl>
      <w:tblPr>
        <w:tblStyle w:val="TableGrid"/>
        <w:tblW w:w="7716" w:type="dxa"/>
        <w:jc w:val="center"/>
        <w:tblLook w:val="04A0" w:firstRow="1" w:lastRow="0" w:firstColumn="1" w:lastColumn="0" w:noHBand="0" w:noVBand="1"/>
      </w:tblPr>
      <w:tblGrid>
        <w:gridCol w:w="3078"/>
        <w:gridCol w:w="1007"/>
        <w:gridCol w:w="1167"/>
        <w:gridCol w:w="1117"/>
        <w:gridCol w:w="1347"/>
      </w:tblGrid>
      <w:tr w:rsidR="00E735AF" w:rsidRPr="007E2072" w14:paraId="4425E976" w14:textId="77777777" w:rsidTr="00F6740C">
        <w:trPr>
          <w:jc w:val="center"/>
        </w:trPr>
        <w:tc>
          <w:tcPr>
            <w:tcW w:w="3078" w:type="dxa"/>
            <w:hideMark/>
          </w:tcPr>
          <w:p w14:paraId="4D78D139" w14:textId="77777777" w:rsidR="00E735AF" w:rsidRPr="007E2072" w:rsidRDefault="00E735AF" w:rsidP="00F6740C">
            <w:pPr>
              <w:widowControl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Region</w:t>
            </w:r>
          </w:p>
        </w:tc>
        <w:tc>
          <w:tcPr>
            <w:tcW w:w="1007" w:type="dxa"/>
            <w:hideMark/>
          </w:tcPr>
          <w:p w14:paraId="2EFF5E6F" w14:textId="77777777" w:rsidR="00E735AF" w:rsidRPr="007E2072" w:rsidRDefault="00E735AF" w:rsidP="00F6740C">
            <w:pPr>
              <w:widowControl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 xml:space="preserve">Area </w:t>
            </w:r>
            <w:r>
              <w:rPr>
                <w:rFonts w:eastAsia="PMingLiU" w:hint="eastAsia"/>
                <w:sz w:val="18"/>
                <w:szCs w:val="18"/>
              </w:rPr>
              <w:t>(</w:t>
            </w:r>
            <w:r>
              <w:rPr>
                <w:rFonts w:eastAsia="PMingLiU"/>
                <w:sz w:val="18"/>
                <w:szCs w:val="18"/>
              </w:rPr>
              <w:t>%</w:t>
            </w:r>
            <w:r>
              <w:rPr>
                <w:rFonts w:eastAsia="PMingLiU" w:hint="eastAsia"/>
                <w:sz w:val="18"/>
                <w:szCs w:val="18"/>
              </w:rPr>
              <w:t>)</w:t>
            </w:r>
          </w:p>
        </w:tc>
        <w:tc>
          <w:tcPr>
            <w:tcW w:w="1167" w:type="dxa"/>
            <w:hideMark/>
          </w:tcPr>
          <w:p w14:paraId="15D6A34A" w14:textId="77777777" w:rsidR="00E735AF" w:rsidRPr="007E2072" w:rsidRDefault="00E735AF" w:rsidP="00F6740C">
            <w:pPr>
              <w:widowControl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Rb (ppm)</w:t>
            </w:r>
          </w:p>
        </w:tc>
        <w:tc>
          <w:tcPr>
            <w:tcW w:w="1117" w:type="dxa"/>
            <w:hideMark/>
          </w:tcPr>
          <w:p w14:paraId="664314FD" w14:textId="77777777" w:rsidR="00E735AF" w:rsidRPr="007E2072" w:rsidRDefault="00E735AF" w:rsidP="00F6740C">
            <w:pPr>
              <w:widowControl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Sr (ppm)</w:t>
            </w:r>
          </w:p>
        </w:tc>
        <w:tc>
          <w:tcPr>
            <w:tcW w:w="1347" w:type="dxa"/>
            <w:hideMark/>
          </w:tcPr>
          <w:p w14:paraId="36891636" w14:textId="77777777" w:rsidR="00E735AF" w:rsidRPr="007E2072" w:rsidRDefault="00E735AF" w:rsidP="00F6740C">
            <w:pPr>
              <w:widowControl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Rb/Sr Ratio</w:t>
            </w:r>
          </w:p>
        </w:tc>
      </w:tr>
      <w:tr w:rsidR="00E735AF" w:rsidRPr="007E2072" w14:paraId="56AFBE84" w14:textId="77777777" w:rsidTr="00F6740C">
        <w:trPr>
          <w:jc w:val="center"/>
        </w:trPr>
        <w:tc>
          <w:tcPr>
            <w:tcW w:w="3078" w:type="dxa"/>
            <w:hideMark/>
          </w:tcPr>
          <w:p w14:paraId="7D7A3785" w14:textId="77777777" w:rsidR="00E735AF" w:rsidRPr="007E2072" w:rsidRDefault="00E735AF" w:rsidP="00F6740C">
            <w:pPr>
              <w:widowControl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Measured Composite (Foot Ring)</w:t>
            </w:r>
          </w:p>
        </w:tc>
        <w:tc>
          <w:tcPr>
            <w:tcW w:w="1007" w:type="dxa"/>
            <w:hideMark/>
          </w:tcPr>
          <w:p w14:paraId="54B0D97C" w14:textId="77777777" w:rsidR="00E735AF" w:rsidRPr="007E2072" w:rsidRDefault="00E735AF" w:rsidP="00F6740C">
            <w:pPr>
              <w:widowControl/>
              <w:jc w:val="center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-</w:t>
            </w:r>
          </w:p>
        </w:tc>
        <w:tc>
          <w:tcPr>
            <w:tcW w:w="1167" w:type="dxa"/>
            <w:hideMark/>
          </w:tcPr>
          <w:p w14:paraId="1F9440BE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267.80</w:t>
            </w:r>
          </w:p>
        </w:tc>
        <w:tc>
          <w:tcPr>
            <w:tcW w:w="1117" w:type="dxa"/>
            <w:hideMark/>
          </w:tcPr>
          <w:p w14:paraId="15847292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90.92</w:t>
            </w:r>
          </w:p>
        </w:tc>
        <w:tc>
          <w:tcPr>
            <w:tcW w:w="1347" w:type="dxa"/>
            <w:hideMark/>
          </w:tcPr>
          <w:p w14:paraId="152C11B3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2.95</w:t>
            </w:r>
          </w:p>
        </w:tc>
      </w:tr>
      <w:tr w:rsidR="00E735AF" w:rsidRPr="007E2072" w14:paraId="1FC3B68D" w14:textId="77777777" w:rsidTr="00F6740C">
        <w:trPr>
          <w:jc w:val="center"/>
        </w:trPr>
        <w:tc>
          <w:tcPr>
            <w:tcW w:w="3078" w:type="dxa"/>
            <w:hideMark/>
          </w:tcPr>
          <w:p w14:paraId="2F2CBA87" w14:textId="77777777" w:rsidR="00E735AF" w:rsidRPr="007E2072" w:rsidRDefault="00E735AF" w:rsidP="00F6740C">
            <w:pPr>
              <w:widowControl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Interior of the foot ring (S3)</w:t>
            </w:r>
          </w:p>
        </w:tc>
        <w:tc>
          <w:tcPr>
            <w:tcW w:w="1007" w:type="dxa"/>
            <w:hideMark/>
          </w:tcPr>
          <w:p w14:paraId="61FC8816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19.0</w:t>
            </w:r>
          </w:p>
        </w:tc>
        <w:tc>
          <w:tcPr>
            <w:tcW w:w="1167" w:type="dxa"/>
            <w:hideMark/>
          </w:tcPr>
          <w:p w14:paraId="2FFD92ED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229.12</w:t>
            </w:r>
          </w:p>
        </w:tc>
        <w:tc>
          <w:tcPr>
            <w:tcW w:w="1117" w:type="dxa"/>
            <w:hideMark/>
          </w:tcPr>
          <w:p w14:paraId="2DFA6D42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113.78</w:t>
            </w:r>
          </w:p>
        </w:tc>
        <w:tc>
          <w:tcPr>
            <w:tcW w:w="1347" w:type="dxa"/>
            <w:hideMark/>
          </w:tcPr>
          <w:p w14:paraId="7B3E4AAD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2.01</w:t>
            </w:r>
          </w:p>
        </w:tc>
      </w:tr>
      <w:tr w:rsidR="00E735AF" w:rsidRPr="007E2072" w14:paraId="146C5E03" w14:textId="77777777" w:rsidTr="00F6740C">
        <w:trPr>
          <w:jc w:val="center"/>
        </w:trPr>
        <w:tc>
          <w:tcPr>
            <w:tcW w:w="3078" w:type="dxa"/>
            <w:hideMark/>
          </w:tcPr>
          <w:p w14:paraId="323F01AF" w14:textId="77777777" w:rsidR="00E735AF" w:rsidRPr="007E2072" w:rsidRDefault="00E735AF" w:rsidP="00F6740C">
            <w:pPr>
              <w:widowControl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Exterior of the foot ring (S1)</w:t>
            </w:r>
          </w:p>
        </w:tc>
        <w:tc>
          <w:tcPr>
            <w:tcW w:w="1007" w:type="dxa"/>
            <w:hideMark/>
          </w:tcPr>
          <w:p w14:paraId="363074D6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18.0</w:t>
            </w:r>
          </w:p>
        </w:tc>
        <w:tc>
          <w:tcPr>
            <w:tcW w:w="1167" w:type="dxa"/>
            <w:hideMark/>
          </w:tcPr>
          <w:p w14:paraId="7BFEFC8C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229.24</w:t>
            </w:r>
          </w:p>
        </w:tc>
        <w:tc>
          <w:tcPr>
            <w:tcW w:w="1117" w:type="dxa"/>
            <w:hideMark/>
          </w:tcPr>
          <w:p w14:paraId="002B79A7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129.86</w:t>
            </w:r>
          </w:p>
        </w:tc>
        <w:tc>
          <w:tcPr>
            <w:tcW w:w="1347" w:type="dxa"/>
            <w:hideMark/>
          </w:tcPr>
          <w:p w14:paraId="1EE6B9A3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1.77</w:t>
            </w:r>
          </w:p>
        </w:tc>
      </w:tr>
      <w:tr w:rsidR="00E735AF" w:rsidRPr="007E2072" w14:paraId="6BB37573" w14:textId="77777777" w:rsidTr="00F6740C">
        <w:trPr>
          <w:jc w:val="center"/>
        </w:trPr>
        <w:tc>
          <w:tcPr>
            <w:tcW w:w="3078" w:type="dxa"/>
            <w:hideMark/>
          </w:tcPr>
          <w:p w14:paraId="1C5F5902" w14:textId="77777777" w:rsidR="00E735AF" w:rsidRPr="007E2072" w:rsidRDefault="00E735AF" w:rsidP="00F6740C">
            <w:pPr>
              <w:widowControl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Corrected Body (S2)</w:t>
            </w:r>
          </w:p>
        </w:tc>
        <w:tc>
          <w:tcPr>
            <w:tcW w:w="1007" w:type="dxa"/>
            <w:hideMark/>
          </w:tcPr>
          <w:p w14:paraId="10E652E2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63.0</w:t>
            </w:r>
          </w:p>
        </w:tc>
        <w:tc>
          <w:tcPr>
            <w:tcW w:w="1167" w:type="dxa"/>
            <w:hideMark/>
          </w:tcPr>
          <w:p w14:paraId="6F066192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290.48</w:t>
            </w:r>
          </w:p>
        </w:tc>
        <w:tc>
          <w:tcPr>
            <w:tcW w:w="1117" w:type="dxa"/>
            <w:hideMark/>
          </w:tcPr>
          <w:p w14:paraId="62DA0417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72.90</w:t>
            </w:r>
          </w:p>
        </w:tc>
        <w:tc>
          <w:tcPr>
            <w:tcW w:w="1347" w:type="dxa"/>
            <w:hideMark/>
          </w:tcPr>
          <w:p w14:paraId="60DBCF7A" w14:textId="77777777" w:rsidR="00E735AF" w:rsidRPr="007E2072" w:rsidRDefault="00E735AF" w:rsidP="00F6740C">
            <w:pPr>
              <w:widowControl/>
              <w:jc w:val="right"/>
              <w:rPr>
                <w:rFonts w:eastAsia="PMingLiU"/>
                <w:sz w:val="18"/>
                <w:szCs w:val="18"/>
              </w:rPr>
            </w:pPr>
            <w:r>
              <w:rPr>
                <w:rFonts w:eastAsia="PMingLiU"/>
                <w:sz w:val="18"/>
                <w:szCs w:val="18"/>
              </w:rPr>
              <w:t>3.98</w:t>
            </w:r>
          </w:p>
        </w:tc>
      </w:tr>
    </w:tbl>
    <w:p w14:paraId="5EADBFD3" w14:textId="77777777" w:rsidR="00E735AF" w:rsidRPr="00F475E8" w:rsidRDefault="00E735AF" w:rsidP="00E735AF">
      <w:pPr>
        <w:widowControl/>
        <w:spacing w:after="100" w:afterAutospacing="1"/>
        <w:ind w:left="360"/>
        <w:rPr>
          <w:rFonts w:eastAsia="PMingLiU"/>
        </w:rPr>
      </w:pPr>
    </w:p>
    <w:p w14:paraId="4AA4F604" w14:textId="77777777" w:rsidR="00E735AF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b/>
          <w:bCs/>
        </w:rPr>
        <w:t>Supplementary Fig. S</w:t>
      </w:r>
      <w:r>
        <w:rPr>
          <w:rFonts w:hint="eastAsia"/>
          <w:b/>
          <w:bCs/>
        </w:rPr>
        <w:t>1</w:t>
      </w:r>
      <w:r>
        <w:rPr>
          <w:b/>
          <w:bCs/>
        </w:rPr>
        <w:t xml:space="preserve">: </w:t>
      </w:r>
      <w:r>
        <w:rPr>
          <w:rFonts w:eastAsia="PMingLiU"/>
        </w:rPr>
        <w:t>Transmitted-light appearance of the ceramic body.</w:t>
      </w:r>
    </w:p>
    <w:p w14:paraId="357ED4AA" w14:textId="77777777" w:rsidR="00E735AF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>Transmitted-light photomicrograph of the Ya-shou-bei, with illumination introduced from below through the vessel base. The ceramic body transmits a uniform warm amber-yellow tonality, consistent with a fine-grained, well-levigated porcelain body of low impurity content. The even distribution of transmitted light across the vessel wall indicates homogeneous body thickness and uniform raw material processing, characteristic of high-quality Jingdezhen porcelain stone-based bodies. Underglaze cobalt-decorated zones are visible as darker silhouettes, reflecting consistent pigment application depth without evidence of bleed-through or anomalous accumulation. The wall thickness increases gradually from rim to belly, consistent with the intentional weight distribution of the ya-shou-bei form. No localized opacity, pin holing, or glaze discontinuity is observed. These transmitted-light characteristics are qualitatively consistent with the refined body preparation associated with early Ming imperial kiln production at Jingdezhen.</w:t>
      </w:r>
    </w:p>
    <w:p w14:paraId="5DB15619" w14:textId="77777777" w:rsidR="00E735AF" w:rsidRDefault="00E735AF" w:rsidP="00E735AF">
      <w:pPr>
        <w:widowControl/>
        <w:spacing w:after="100" w:afterAutospacing="1"/>
        <w:ind w:left="360"/>
        <w:jc w:val="center"/>
        <w:rPr>
          <w:rFonts w:eastAsia="PMingLiU"/>
        </w:rPr>
      </w:pPr>
      <w:r>
        <w:rPr>
          <w:noProof/>
        </w:rPr>
        <w:drawing>
          <wp:inline distT="0" distB="0" distL="0" distR="0" wp14:anchorId="279ECB55" wp14:editId="11EB320E">
            <wp:extent cx="2193290" cy="1645285"/>
            <wp:effectExtent l="7302" t="0" r="4763" b="4762"/>
            <wp:docPr id="1605370703" name="圖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19329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740DCD6" w14:textId="77777777" w:rsidR="00E735AF" w:rsidRPr="00F475E8" w:rsidRDefault="00E735AF" w:rsidP="00E735AF">
      <w:pPr>
        <w:widowControl/>
        <w:spacing w:after="100" w:afterAutospacing="1"/>
        <w:ind w:left="360"/>
        <w:jc w:val="center"/>
        <w:rPr>
          <w:rFonts w:eastAsia="PMingLiU"/>
        </w:rPr>
      </w:pPr>
    </w:p>
    <w:p w14:paraId="0E650331" w14:textId="77777777" w:rsidR="00E735AF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t>Supplementary Fig. S</w:t>
      </w:r>
      <w:r>
        <w:rPr>
          <w:rFonts w:eastAsia="PMingLiU" w:hint="eastAsia"/>
          <w:b/>
          <w:bCs/>
        </w:rPr>
        <w:t>2</w:t>
      </w:r>
      <w:r>
        <w:rPr>
          <w:rFonts w:eastAsia="PMingLiU"/>
          <w:b/>
          <w:bCs/>
        </w:rPr>
        <w:t xml:space="preserve">. </w:t>
      </w:r>
      <w:r>
        <w:t>Sub-glaze bubble distribution and boundary softening in the cobalt-decorated glaze layer</w:t>
      </w:r>
      <w:r>
        <w:rPr>
          <w:rFonts w:eastAsia="PMingLiU"/>
        </w:rPr>
        <w:t>.</w:t>
      </w:r>
    </w:p>
    <w:p w14:paraId="5438359B" w14:textId="77777777" w:rsidR="00E735AF" w:rsidRPr="003202FA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 xml:space="preserve">High-magnification photomicrograph of the cobalt-decorated glaze layer, showing a multimodal distribution of sub-glaze bubbles of varying diameter within the </w:t>
      </w:r>
      <w:r>
        <w:rPr>
          <w:rFonts w:eastAsia="PMingLiU"/>
        </w:rPr>
        <w:lastRenderedPageBreak/>
        <w:t>glaze matrix. Large, isolated bubbles coexist with densely packed medium-to-small bubbles concentrated at the margins of high-density cobalt zones, and a fine dispersion of micro-bubbles throughout the glaze body. This heterogeneous bubble size distribution is consistent with extended high-temperature maturation under wood-fired kiln conditions, reflecting differential gas evolution at varying depths and temperatures within the glaze layer during prolonged firing.</w:t>
      </w:r>
    </w:p>
    <w:p w14:paraId="0B6D6E1A" w14:textId="77777777" w:rsidR="00E735AF" w:rsidRPr="00F475E8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>Two to three localized subsidence zones are visible as circular depressions of deep cobalt coloration, corresponding to high-concentration pigment accumulation areas. Elevated bubble density at the margins of these zones indicates localized pigment–glaze interaction and viscous flow during firing. The transitions between high- and low-concentration cobalt zones exhibit gradual tonal gradients rather than sharp boundaries, indicative of lateral diffusion and vertical infiltration of cobalt ions into the surrounding glaze matrix during high-temperature maturation. These features are collectively consistent with natural high-temperature firing processes and are not attributable to post-production intervention.</w:t>
      </w:r>
    </w:p>
    <w:p w14:paraId="0025996A" w14:textId="77777777" w:rsidR="00E735AF" w:rsidRDefault="00E735AF" w:rsidP="00E735AF">
      <w:pPr>
        <w:widowControl/>
        <w:spacing w:after="100" w:afterAutospacing="1"/>
        <w:ind w:left="720"/>
        <w:jc w:val="center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06EC0314" wp14:editId="273ECE64">
            <wp:extent cx="2160000" cy="1620000"/>
            <wp:effectExtent l="0" t="0" r="0" b="5715"/>
            <wp:docPr id="141566135" name="圖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D7B334D" w14:textId="77777777" w:rsidR="00E735AF" w:rsidRPr="00F475E8" w:rsidRDefault="00E735AF" w:rsidP="00E735AF">
      <w:pPr>
        <w:widowControl/>
        <w:spacing w:after="100" w:afterAutospacing="1"/>
        <w:ind w:left="720"/>
        <w:jc w:val="center"/>
        <w:rPr>
          <w:rFonts w:eastAsia="PMingLiU"/>
        </w:rPr>
      </w:pPr>
    </w:p>
    <w:p w14:paraId="3A6BE8DE" w14:textId="77777777" w:rsidR="00E735AF" w:rsidRPr="00F333A4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t>Supplementary Fig. S</w:t>
      </w:r>
      <w:r>
        <w:rPr>
          <w:rFonts w:eastAsia="PMingLiU" w:hint="eastAsia"/>
          <w:b/>
          <w:bCs/>
        </w:rPr>
        <w:t>3</w:t>
      </w:r>
      <w:r>
        <w:rPr>
          <w:rFonts w:eastAsia="PMingLiU"/>
          <w:b/>
          <w:bCs/>
        </w:rPr>
        <w:t xml:space="preserve">. </w:t>
      </w:r>
      <w:r>
        <w:t>Feather-like Fe–Mn crystallites and pigment–glaze interaction features in the cobalt-decorated zone.</w:t>
      </w:r>
    </w:p>
    <w:p w14:paraId="58D150FB" w14:textId="77777777" w:rsidR="00E735AF" w:rsidRPr="00F475E8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 xml:space="preserve">High-magnification photomicrograph of the cobalt-decorated glaze layer, revealing feather-like (lanceolate) Fe–Mn crystallites at the periphery of a high-density iron–manganese precipitation zone (dark region, centre-left). The crystallites exhibit characteristic bilateral symmetry with a pronounced central axis and laterally radiating branches, consistent with directional solidification of iron-rich phases during high-temperature firing. Metallic specular reflections from crystal surfaces indicate partial exposure at the glaze–air interface. The surrounding glaze matrix contains densely distributed sub-glaze bubbles of varying diameter, indicative of extended maturation under high-temperature wood-fired kiln conditions. Localized glaze subsidence is observed at the margins of the precipitation zone, resulting from pigment–glaze interdiffusion and viscous flow during prolonged firing. These features are characteristic of </w:t>
      </w:r>
      <w:r>
        <w:rPr>
          <w:rFonts w:eastAsia="PMingLiU"/>
        </w:rPr>
        <w:lastRenderedPageBreak/>
        <w:t>authentic Sumaliqing-type imported cobalt pigments fired under reducing kiln atmospheres at temperatures exceeding 1250°C.</w:t>
      </w:r>
    </w:p>
    <w:p w14:paraId="711CA032" w14:textId="77777777" w:rsidR="00E735AF" w:rsidRDefault="00E735AF" w:rsidP="00E735AF">
      <w:pPr>
        <w:widowControl/>
        <w:spacing w:after="100" w:afterAutospacing="1"/>
        <w:ind w:left="720"/>
        <w:jc w:val="center"/>
        <w:rPr>
          <w:rFonts w:eastAsia="PMingLiU"/>
        </w:rPr>
      </w:pPr>
      <w:r>
        <w:rPr>
          <w:rFonts w:eastAsia="PMingLiU"/>
          <w:noProof/>
        </w:rPr>
        <w:drawing>
          <wp:inline distT="0" distB="0" distL="0" distR="0" wp14:anchorId="2F8087AE" wp14:editId="70E1DE46">
            <wp:extent cx="2160000" cy="1620000"/>
            <wp:effectExtent l="0" t="0" r="0" b="5715"/>
            <wp:docPr id="549542222" name="圖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9542222" name="圖片 54954222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16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3A9765" w14:textId="77777777" w:rsidR="00E735AF" w:rsidRPr="00F475E8" w:rsidRDefault="00E735AF" w:rsidP="00E735AF">
      <w:pPr>
        <w:widowControl/>
        <w:spacing w:after="100" w:afterAutospacing="1"/>
        <w:ind w:left="720"/>
        <w:jc w:val="center"/>
        <w:rPr>
          <w:rFonts w:eastAsia="PMingLiU"/>
        </w:rPr>
      </w:pPr>
    </w:p>
    <w:p w14:paraId="4CCEF9FF" w14:textId="77777777" w:rsidR="00E735AF" w:rsidRDefault="00E735AF" w:rsidP="00E735AF">
      <w:pPr>
        <w:widowControl/>
        <w:numPr>
          <w:ilvl w:val="0"/>
          <w:numId w:val="1"/>
        </w:numPr>
        <w:spacing w:after="100" w:afterAutospacing="1"/>
        <w:rPr>
          <w:rFonts w:eastAsia="PMingLiU"/>
        </w:rPr>
      </w:pPr>
      <w:r>
        <w:rPr>
          <w:rFonts w:eastAsia="PMingLiU"/>
          <w:b/>
          <w:bCs/>
        </w:rPr>
        <w:t>Supplementary Fig. S</w:t>
      </w:r>
      <w:r>
        <w:rPr>
          <w:rFonts w:eastAsia="PMingLiU" w:hint="eastAsia"/>
          <w:b/>
          <w:bCs/>
        </w:rPr>
        <w:t>4</w:t>
      </w:r>
      <w:r>
        <w:rPr>
          <w:rFonts w:eastAsia="PMingLiU"/>
          <w:b/>
          <w:bCs/>
        </w:rPr>
        <w:t xml:space="preserve">. </w:t>
      </w:r>
      <w:r>
        <w:t>Macroscopic views of the Ya-shou-bei examined in this study</w:t>
      </w:r>
      <w:r>
        <w:rPr>
          <w:rFonts w:eastAsia="PMingLiU"/>
        </w:rPr>
        <w:t>.</w:t>
      </w:r>
    </w:p>
    <w:p w14:paraId="3B5992AA" w14:textId="77777777" w:rsidR="00E735AF" w:rsidRPr="00D21A9F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>(a) Overall exterior view. The vessel displays a characteristic ya-shou-bei (press-hand cup) profile with an everted rim, globular belly, and short foot ring, mounted on a wooden stand for display. The exterior surface bears dense scrolling lotus (lianhua) decoration in cobalt blue underglaze, with a register of five-petalled floral diaper motifs encircling the rim. The blue-and-white decoration exhibits the deep, saturated cobalt tonality with localized areas of darker concentration characteristic of high-iron, low-manganese imported cobalt pigment. The glaze surface presents a clear, lustrous finish consistent with high-fired reduction-atmosphere firing.</w:t>
      </w:r>
    </w:p>
    <w:p w14:paraId="765C543A" w14:textId="77777777" w:rsidR="00E735AF" w:rsidRPr="00D21A9F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>(b) Interior view. The interior presents a plain white glazed surface with two fine cobalt blue line borders near the rim. The central medallion depicts two lions at play with a brocade ball (shuangshi gunxiuqiu), enclosed within a circle border. At the center of the composition, a circular cartouche bears a four-character reign mark inscribed in seal script (zhuanshu). The overall interior glaze is even and luminous, with concentric throwing marks visible across the bowl wall, indicative of fine wheel-thrown construction.</w:t>
      </w:r>
    </w:p>
    <w:p w14:paraId="4F18386B" w14:textId="77777777" w:rsidR="00E735AF" w:rsidRPr="00F475E8" w:rsidRDefault="00E735AF" w:rsidP="00E735AF">
      <w:pPr>
        <w:widowControl/>
        <w:spacing w:after="100" w:afterAutospacing="1"/>
        <w:ind w:left="720"/>
        <w:rPr>
          <w:rFonts w:eastAsia="PMingLiU"/>
        </w:rPr>
      </w:pPr>
      <w:r>
        <w:rPr>
          <w:rFonts w:eastAsia="PMingLiU"/>
        </w:rPr>
        <w:t>(c) Base view. The foot ring (quanzu) is unglazed on its contact surface, exposing the fired ceramic body, which shows the characteristic iron-rich reddish-brown coloration (huoshi hong, fire-stone red) consistent with natural oxidation of iron-bearing raw materials at the foot margin during kiln firing. The interior of the foot ring floor is covered with a pale blue-white glaze. The exterior wall below the foot ring continues the scrolling floral decoration. No reign mark is present on the base, consistent with the Yongle-period practice of incorporating the mark within the interior decorative programme rather than on the exterior base.</w:t>
      </w:r>
    </w:p>
    <w:tbl>
      <w:tblPr>
        <w:tblStyle w:val="TableGrid"/>
        <w:tblW w:w="0" w:type="auto"/>
        <w:tblLayout w:type="fixed"/>
        <w:tblLook w:val="04A0" w:firstRow="1" w:lastRow="0" w:firstColumn="1" w:lastColumn="0" w:noHBand="0" w:noVBand="1"/>
      </w:tblPr>
      <w:tblGrid>
        <w:gridCol w:w="2765"/>
        <w:gridCol w:w="2765"/>
        <w:gridCol w:w="2766"/>
      </w:tblGrid>
      <w:tr w:rsidR="00E735AF" w:rsidRPr="00F475E8" w14:paraId="65F69C8B" w14:textId="77777777" w:rsidTr="00F6740C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6F394ABE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jc w:val="center"/>
              <w:rPr>
                <w:rFonts w:eastAsia="PMingLiU"/>
              </w:rPr>
            </w:pPr>
            <w:r>
              <w:rPr>
                <w:rFonts w:eastAsia="PMingLiU"/>
                <w:noProof/>
              </w:rPr>
              <w:lastRenderedPageBreak/>
              <w:drawing>
                <wp:inline distT="0" distB="0" distL="0" distR="0" wp14:anchorId="241908E2" wp14:editId="6F769DD7">
                  <wp:extent cx="1448060" cy="1607693"/>
                  <wp:effectExtent l="0" t="0" r="0" b="0"/>
                  <wp:docPr id="335119355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5119355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68204" cy="16300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03F54E1E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jc w:val="center"/>
              <w:rPr>
                <w:rFonts w:eastAsia="PMingLiU"/>
              </w:rPr>
            </w:pPr>
            <w:r>
              <w:rPr>
                <w:rFonts w:eastAsia="PMingLiU"/>
                <w:noProof/>
              </w:rPr>
              <w:drawing>
                <wp:inline distT="0" distB="0" distL="0" distR="0" wp14:anchorId="349235D8" wp14:editId="6828794E">
                  <wp:extent cx="1532322" cy="1603858"/>
                  <wp:effectExtent l="0" t="0" r="0" b="0"/>
                  <wp:docPr id="533934559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33934559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6350" cy="16185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74C2885F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rPr>
                <w:rFonts w:eastAsia="PMingLiU"/>
              </w:rPr>
            </w:pPr>
            <w:r>
              <w:rPr>
                <w:rFonts w:eastAsia="PMingLiU"/>
                <w:noProof/>
              </w:rPr>
              <w:drawing>
                <wp:inline distT="0" distB="0" distL="0" distR="0" wp14:anchorId="73C29D5E" wp14:editId="0C1C1EE8">
                  <wp:extent cx="1619250" cy="1607185"/>
                  <wp:effectExtent l="0" t="0" r="0" b="0"/>
                  <wp:docPr id="2066588143" name="圖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6588143" name=""/>
                          <pic:cNvPicPr/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9250" cy="16071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735AF" w:rsidRPr="00F475E8" w14:paraId="08C4E83C" w14:textId="77777777" w:rsidTr="00F6740C"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40E08066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jc w:val="center"/>
              <w:rPr>
                <w:rFonts w:eastAsia="PMingLiU"/>
                <w:noProof/>
              </w:rPr>
            </w:pPr>
          </w:p>
          <w:p w14:paraId="7FAAA537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rPr>
                <w:rFonts w:eastAsia="PMingLiU"/>
                <w:noProof/>
              </w:rPr>
            </w:pPr>
          </w:p>
        </w:tc>
        <w:tc>
          <w:tcPr>
            <w:tcW w:w="2765" w:type="dxa"/>
            <w:tcBorders>
              <w:top w:val="nil"/>
              <w:left w:val="nil"/>
              <w:bottom w:val="nil"/>
              <w:right w:val="nil"/>
            </w:tcBorders>
          </w:tcPr>
          <w:p w14:paraId="509118DA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jc w:val="center"/>
              <w:rPr>
                <w:rFonts w:eastAsia="PMingLiU"/>
                <w:noProof/>
              </w:rPr>
            </w:pPr>
          </w:p>
        </w:tc>
        <w:tc>
          <w:tcPr>
            <w:tcW w:w="2766" w:type="dxa"/>
            <w:tcBorders>
              <w:top w:val="nil"/>
              <w:left w:val="nil"/>
              <w:bottom w:val="nil"/>
              <w:right w:val="nil"/>
            </w:tcBorders>
          </w:tcPr>
          <w:p w14:paraId="6973565C" w14:textId="77777777" w:rsidR="00E735AF" w:rsidRPr="00F475E8" w:rsidRDefault="00E735AF" w:rsidP="00F6740C">
            <w:pPr>
              <w:widowControl/>
              <w:spacing w:before="100" w:beforeAutospacing="1" w:after="100" w:afterAutospacing="1"/>
              <w:rPr>
                <w:rFonts w:eastAsia="PMingLiU"/>
                <w:noProof/>
              </w:rPr>
            </w:pPr>
          </w:p>
        </w:tc>
      </w:tr>
    </w:tbl>
    <w:p w14:paraId="050DECFD" w14:textId="77777777" w:rsidR="00E735AF" w:rsidRPr="00F475E8" w:rsidRDefault="00E735AF" w:rsidP="00E735AF">
      <w:pPr>
        <w:jc w:val="center"/>
      </w:pPr>
    </w:p>
    <w:p w14:paraId="02495951" w14:textId="77777777" w:rsidR="00E735AF" w:rsidRPr="00F475E8" w:rsidRDefault="00E735AF" w:rsidP="00E735AF">
      <w:pPr>
        <w:widowControl/>
        <w:rPr>
          <w:rFonts w:eastAsia="PMingLiU"/>
        </w:rPr>
      </w:pPr>
    </w:p>
    <w:p w14:paraId="52F41CC4" w14:textId="77777777" w:rsidR="00E735AF" w:rsidRDefault="00E735AF" w:rsidP="00E735AF">
      <w:pPr>
        <w:spacing w:before="40" w:after="40"/>
      </w:pPr>
    </w:p>
    <w:p w14:paraId="3FA18516" w14:textId="77777777" w:rsidR="00EB4A2D" w:rsidRDefault="00EB4A2D"/>
    <w:sectPr w:rsidR="00EB4A2D" w:rsidSect="00E735AF">
      <w:pgSz w:w="12240" w:h="15840"/>
      <w:pgMar w:top="1440" w:right="1440" w:bottom="1440" w:left="1440" w:header="708" w:footer="708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PMingLiU">
    <w:panose1 w:val="02010601000101010101"/>
    <w:charset w:val="88"/>
    <w:family w:val="roman"/>
    <w:pitch w:val="variable"/>
    <w:sig w:usb0="A00002FF" w:usb1="28CFFCFA" w:usb2="00000016" w:usb3="00000000" w:csb0="001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ED442A1"/>
    <w:multiLevelType w:val="multilevel"/>
    <w:tmpl w:val="9718FE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2973477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35AF"/>
    <w:rsid w:val="002C7D54"/>
    <w:rsid w:val="0033371E"/>
    <w:rsid w:val="005C0D39"/>
    <w:rsid w:val="00647C07"/>
    <w:rsid w:val="0070406C"/>
    <w:rsid w:val="00724754"/>
    <w:rsid w:val="00C321FA"/>
    <w:rsid w:val="00C97210"/>
    <w:rsid w:val="00E735AF"/>
    <w:rsid w:val="00EB4A2D"/>
    <w:rsid w:val="00EE513F"/>
    <w:rsid w:val="00FC500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7CAB4F3"/>
  <w15:chartTrackingRefBased/>
  <w15:docId w15:val="{045B0444-B420-48D5-80C7-6AA997B912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IN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735AF"/>
    <w:pPr>
      <w:widowControl w:val="0"/>
      <w:spacing w:after="0" w:line="240" w:lineRule="auto"/>
    </w:pPr>
    <w:rPr>
      <w:rFonts w:ascii="Arial" w:eastAsiaTheme="minorEastAsia" w:hAnsi="Arial" w:cs="Arial"/>
      <w:kern w:val="0"/>
      <w:lang w:val="en-US" w:eastAsia="zh-TW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E735AF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735AF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E735AF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735AF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735AF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735AF"/>
    <w:pPr>
      <w:keepNext/>
      <w:keepLines/>
      <w:spacing w:before="4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735AF"/>
    <w:pPr>
      <w:keepNext/>
      <w:keepLines/>
      <w:spacing w:before="4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735AF"/>
    <w:pPr>
      <w:keepNext/>
      <w:keepLines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735AF"/>
    <w:pPr>
      <w:keepNext/>
      <w:keepLines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735AF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735AF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E735AF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735AF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735AF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735AF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735AF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735AF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735AF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E735AF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E735A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E735AF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E735AF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E735AF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E735AF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E735AF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E735AF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735AF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735AF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E735AF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E735AF"/>
    <w:pPr>
      <w:spacing w:after="0" w:line="240" w:lineRule="auto"/>
    </w:pPr>
    <w:rPr>
      <w:rFonts w:eastAsiaTheme="minorEastAsia"/>
      <w:lang w:val="en-US" w:eastAsia="zh-TW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7</Pages>
  <Words>944</Words>
  <Characters>5381</Characters>
  <Application>Microsoft Office Word</Application>
  <DocSecurity>0</DocSecurity>
  <Lines>44</Lines>
  <Paragraphs>12</Paragraphs>
  <ScaleCrop>false</ScaleCrop>
  <Company/>
  <LinksUpToDate>false</LinksUpToDate>
  <CharactersWithSpaces>6313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Pradeep Gaikwad</dc:creator>
  <cp:keywords/>
  <dc:description/>
  <cp:lastModifiedBy>Pradeep Gaikwad</cp:lastModifiedBy>
  <cp:revision>1</cp:revision>
  <dcterms:created xsi:type="dcterms:W3CDTF">2026-05-15T07:50:00Z</dcterms:created>
  <dcterms:modified xsi:type="dcterms:W3CDTF">2026-05-15T07:51:00Z</dcterms:modified>
</cp:coreProperties>
</file>