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3377" w14:textId="77777777" w:rsidR="005F0F63" w:rsidRPr="00ED7F7B" w:rsidRDefault="005F0F63" w:rsidP="005F0F63">
      <w:pPr>
        <w:pBdr>
          <w:bottom w:val="single" w:sz="4" w:space="4" w:color="AAAAAA"/>
        </w:pBdr>
        <w:spacing w:before="480" w:after="240" w:line="480" w:lineRule="auto"/>
        <w:rPr>
          <w:lang w:val="en-US"/>
        </w:rPr>
      </w:pPr>
      <w:r w:rsidRPr="00ED7F7B">
        <w:rPr>
          <w:b/>
          <w:bCs/>
          <w:color w:val="000000"/>
          <w:sz w:val="28"/>
          <w:szCs w:val="28"/>
          <w:lang w:val="en-US"/>
        </w:rPr>
        <w:t>Appendix A: Variable Definitions and Data Sources</w:t>
      </w:r>
    </w:p>
    <w:p w14:paraId="55A318B2" w14:textId="77777777" w:rsidR="005F0F63" w:rsidRPr="00ED7F7B" w:rsidRDefault="005F0F63" w:rsidP="005F0F63">
      <w:pPr>
        <w:rPr>
          <w:lang w:val="en-US"/>
        </w:rPr>
      </w:pPr>
    </w:p>
    <w:tbl>
      <w:tblPr>
        <w:tblW w:w="7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134"/>
        <w:gridCol w:w="1365"/>
        <w:gridCol w:w="1201"/>
      </w:tblGrid>
      <w:tr w:rsidR="005F0F63" w14:paraId="6516323C" w14:textId="77777777" w:rsidTr="00951FCA">
        <w:trPr>
          <w:tblHeader/>
        </w:trPr>
        <w:tc>
          <w:tcPr>
            <w:tcW w:w="300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754E7" w14:textId="77777777" w:rsidR="005F0F63" w:rsidRDefault="005F0F63" w:rsidP="00951FCA">
            <w:r>
              <w:rPr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180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125DD" w14:textId="77777777" w:rsidR="005F0F63" w:rsidRDefault="005F0F63" w:rsidP="00951FC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WDI Code</w:t>
            </w:r>
          </w:p>
        </w:tc>
        <w:tc>
          <w:tcPr>
            <w:tcW w:w="140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968A8A" w14:textId="77777777" w:rsidR="005F0F63" w:rsidRDefault="005F0F63" w:rsidP="00951FC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26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DC89F" w14:textId="77777777" w:rsidR="005F0F63" w:rsidRDefault="005F0F63" w:rsidP="00951FC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Missing (%)</w:t>
            </w:r>
          </w:p>
        </w:tc>
      </w:tr>
      <w:tr w:rsidR="005F0F63" w14:paraId="2606F0D0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9203A9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Poverty headcount $2.15/day (2017 PPP)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A33865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SI.POV.DDAY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B757E6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Outcome (Y)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41142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66.8%</w:t>
            </w:r>
          </w:p>
        </w:tc>
      </w:tr>
      <w:tr w:rsidR="005F0F63" w14:paraId="5F7E26E6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11B40" w14:textId="77777777" w:rsidR="005F0F63" w:rsidRPr="00ED7F7B" w:rsidRDefault="005F0F63" w:rsidP="00951FCA">
            <w:pPr>
              <w:rPr>
                <w:lang w:val="en-US"/>
              </w:rPr>
            </w:pPr>
            <w:r w:rsidRPr="00ED7F7B">
              <w:rPr>
                <w:color w:val="000000"/>
                <w:sz w:val="20"/>
                <w:szCs w:val="20"/>
                <w:lang w:val="en-US"/>
              </w:rPr>
              <w:t>Life expectancy at birth (years)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8F4F3A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SP.DYN.LE00.IN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F29FA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Human (H)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A47B7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0.4%</w:t>
            </w:r>
          </w:p>
        </w:tc>
      </w:tr>
      <w:tr w:rsidR="005F0F63" w14:paraId="64917AF9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A72338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Under-5 mortality per 1,000 (reversed)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FED0C4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SH.DYN.MORT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BDC9A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Human (H)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6ABAEA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8.3%</w:t>
            </w:r>
          </w:p>
        </w:tc>
      </w:tr>
      <w:tr w:rsidR="005F0F63" w14:paraId="323D5D3D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785BD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Primary school completion (%)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270FC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SE.PRM.CMPT.ZS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F55EC5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Human (H)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4182A1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33.3%</w:t>
            </w:r>
          </w:p>
        </w:tc>
      </w:tr>
      <w:tr w:rsidR="005F0F63" w14:paraId="2846A10F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EC5A6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Access to electricity (% population)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615F00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EG.ELC.ACCS.ZS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8659D8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Institutional (I)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317AF2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5.5%</w:t>
            </w:r>
          </w:p>
        </w:tc>
      </w:tr>
      <w:tr w:rsidR="005F0F63" w14:paraId="7449F67C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9D7BC4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Internet users per 100 people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A1D457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IT.NET.USER.ZS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BC1AE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Technology (T)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221344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16.5%</w:t>
            </w:r>
          </w:p>
        </w:tc>
      </w:tr>
      <w:tr w:rsidR="005F0F63" w14:paraId="7509E683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1EAA2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Mobile subscriptions per 100 people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31ECC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IT.CEL.SETS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9138B2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Technology (T)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8F489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7.8%</w:t>
            </w:r>
          </w:p>
        </w:tc>
      </w:tr>
      <w:tr w:rsidR="005F0F63" w14:paraId="254F9075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DD1904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Gini coefficient [EXCLUDED]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1577D0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SI.POV.GINI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A21360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CDEED2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72.1%</w:t>
            </w:r>
          </w:p>
        </w:tc>
      </w:tr>
      <w:tr w:rsidR="005F0F63" w14:paraId="2261FBB9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5ABBF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Adult literacy rate [EXCLUDED]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7AB705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SE.ADT.LITR.ZS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C25BD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D0A54B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71.8%</w:t>
            </w:r>
          </w:p>
        </w:tc>
      </w:tr>
      <w:tr w:rsidR="005F0F63" w14:paraId="1B1879D0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02BB01" w14:textId="77777777" w:rsidR="005F0F63" w:rsidRPr="00ED7F7B" w:rsidRDefault="005F0F63" w:rsidP="00951FCA">
            <w:pPr>
              <w:rPr>
                <w:lang w:val="en-US"/>
              </w:rPr>
            </w:pPr>
            <w:r w:rsidRPr="00ED7F7B">
              <w:rPr>
                <w:color w:val="000000"/>
                <w:sz w:val="20"/>
                <w:szCs w:val="20"/>
                <w:lang w:val="en-US"/>
              </w:rPr>
              <w:t>R&amp;D expenditure % GDP [EXCLUDED]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CE431" w14:textId="77777777" w:rsidR="005F0F63" w:rsidRPr="00ED7F7B" w:rsidRDefault="005F0F63" w:rsidP="00951FCA">
            <w:pPr>
              <w:jc w:val="center"/>
              <w:rPr>
                <w:lang w:val="en-US"/>
              </w:rPr>
            </w:pPr>
            <w:r w:rsidRPr="00ED7F7B">
              <w:rPr>
                <w:color w:val="000000"/>
                <w:sz w:val="20"/>
                <w:szCs w:val="20"/>
                <w:lang w:val="en-US"/>
              </w:rPr>
              <w:t>GB.XPD.RSDV.GD.ZS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5AE293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2F2C5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56.7%</w:t>
            </w:r>
          </w:p>
        </w:tc>
      </w:tr>
      <w:tr w:rsidR="005F0F63" w14:paraId="4E1DF75D" w14:textId="77777777" w:rsidTr="00951FCA"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05D8FD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High-technology exports [EXCLUDED]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620CC6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TX.VAL.TECH.MF.ZS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90B782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6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DCDD2D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49.7%</w:t>
            </w:r>
          </w:p>
        </w:tc>
      </w:tr>
    </w:tbl>
    <w:p w14:paraId="6EA799D4" w14:textId="77777777" w:rsidR="005F0F63" w:rsidRPr="00ED7F7B" w:rsidRDefault="005F0F63" w:rsidP="005F0F63">
      <w:pPr>
        <w:spacing w:before="80" w:after="240"/>
        <w:jc w:val="both"/>
        <w:rPr>
          <w:lang w:val="en-US"/>
        </w:rPr>
      </w:pPr>
      <w:r w:rsidRPr="00ED7F7B">
        <w:rPr>
          <w:i/>
          <w:iCs/>
          <w:color w:val="000000"/>
          <w:sz w:val="20"/>
          <w:szCs w:val="20"/>
          <w:lang w:val="en-US"/>
        </w:rPr>
        <w:t xml:space="preserve">Note: Missing rates computed over 2000–2023, 266 countries (before sample restriction). Indicators marked [EXCLUDED] </w:t>
      </w:r>
      <w:proofErr w:type="gramStart"/>
      <w:r w:rsidRPr="00ED7F7B">
        <w:rPr>
          <w:i/>
          <w:iCs/>
          <w:color w:val="000000"/>
          <w:sz w:val="20"/>
          <w:szCs w:val="20"/>
          <w:lang w:val="en-US"/>
        </w:rPr>
        <w:t>were dropped</w:t>
      </w:r>
      <w:proofErr w:type="gramEnd"/>
      <w:r w:rsidRPr="00ED7F7B">
        <w:rPr>
          <w:i/>
          <w:iCs/>
          <w:color w:val="000000"/>
          <w:sz w:val="20"/>
          <w:szCs w:val="20"/>
          <w:lang w:val="en-US"/>
        </w:rPr>
        <w:t xml:space="preserve"> due to structural missingness exceeding 50%, which risks systematic bias toward better-governed, higher-income reporting countries.</w:t>
      </w:r>
    </w:p>
    <w:p w14:paraId="2EC53B33" w14:textId="77777777" w:rsidR="005F0F63" w:rsidRPr="00ED7F7B" w:rsidRDefault="005F0F63" w:rsidP="005F0F63">
      <w:pPr>
        <w:pBdr>
          <w:bottom w:val="single" w:sz="4" w:space="4" w:color="AAAAAA"/>
        </w:pBdr>
        <w:spacing w:before="480" w:after="240" w:line="480" w:lineRule="auto"/>
        <w:rPr>
          <w:lang w:val="en-US"/>
        </w:rPr>
      </w:pPr>
      <w:r w:rsidRPr="00ED7F7B">
        <w:rPr>
          <w:b/>
          <w:bCs/>
          <w:color w:val="000000"/>
          <w:sz w:val="28"/>
          <w:szCs w:val="28"/>
          <w:lang w:val="en-US"/>
        </w:rPr>
        <w:t>Appendix B: PCA Loadings and Variance Explained</w:t>
      </w:r>
    </w:p>
    <w:p w14:paraId="5F7CDDA1" w14:textId="77777777" w:rsidR="005F0F63" w:rsidRPr="00ED7F7B" w:rsidRDefault="005F0F63" w:rsidP="005F0F63">
      <w:pPr>
        <w:rPr>
          <w:lang w:val="en-US"/>
        </w:rPr>
      </w:pPr>
    </w:p>
    <w:p w14:paraId="544F5BFA" w14:textId="77777777" w:rsidR="005F0F63" w:rsidRPr="00ED7F7B" w:rsidRDefault="005F0F63" w:rsidP="005F0F63">
      <w:pPr>
        <w:spacing w:after="80" w:line="480" w:lineRule="auto"/>
        <w:jc w:val="center"/>
        <w:rPr>
          <w:lang w:val="en-US"/>
        </w:rPr>
      </w:pPr>
      <w:r w:rsidRPr="00ED7F7B">
        <w:rPr>
          <w:b/>
          <w:bCs/>
          <w:color w:val="000000"/>
          <w:sz w:val="20"/>
          <w:szCs w:val="20"/>
          <w:lang w:val="en-US"/>
        </w:rPr>
        <w:t>Table B1: Human Capacity Pillar (</w:t>
      </w:r>
      <w:proofErr w:type="gramStart"/>
      <w:r w:rsidRPr="00ED7F7B">
        <w:rPr>
          <w:b/>
          <w:bCs/>
          <w:color w:val="000000"/>
          <w:sz w:val="20"/>
          <w:szCs w:val="20"/>
          <w:lang w:val="en-US"/>
        </w:rPr>
        <w:t>H) —</w:t>
      </w:r>
      <w:proofErr w:type="gramEnd"/>
      <w:r w:rsidRPr="00ED7F7B">
        <w:rPr>
          <w:b/>
          <w:bCs/>
          <w:color w:val="000000"/>
          <w:sz w:val="20"/>
          <w:szCs w:val="20"/>
          <w:lang w:val="en-US"/>
        </w:rPr>
        <w:t xml:space="preserve"> PCA Results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800"/>
        <w:gridCol w:w="2160"/>
      </w:tblGrid>
      <w:tr w:rsidR="005F0F63" w14:paraId="5255DAAD" w14:textId="77777777" w:rsidTr="00951FCA">
        <w:trPr>
          <w:tblHeader/>
        </w:trPr>
        <w:tc>
          <w:tcPr>
            <w:tcW w:w="450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8874A5" w14:textId="77777777" w:rsidR="005F0F63" w:rsidRDefault="005F0F63" w:rsidP="00951FCA">
            <w:r>
              <w:rPr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180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F83DB" w14:textId="77777777" w:rsidR="005F0F63" w:rsidRDefault="005F0F63" w:rsidP="00951FC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PC1 Loading</w:t>
            </w:r>
          </w:p>
        </w:tc>
        <w:tc>
          <w:tcPr>
            <w:tcW w:w="216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23EF4" w14:textId="77777777" w:rsidR="005F0F63" w:rsidRDefault="005F0F63" w:rsidP="00951FC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Communality</w:t>
            </w:r>
          </w:p>
        </w:tc>
      </w:tr>
      <w:tr w:rsidR="005F0F63" w14:paraId="384A4FBD" w14:textId="77777777" w:rsidTr="00951F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B2F5FD" w14:textId="77777777" w:rsidR="005F0F63" w:rsidRPr="00ED7F7B" w:rsidRDefault="005F0F63" w:rsidP="00951FCA">
            <w:pPr>
              <w:rPr>
                <w:lang w:val="en-US"/>
              </w:rPr>
            </w:pPr>
            <w:r w:rsidRPr="00ED7F7B">
              <w:rPr>
                <w:color w:val="000000"/>
                <w:sz w:val="20"/>
                <w:szCs w:val="20"/>
                <w:lang w:val="en-US"/>
              </w:rPr>
              <w:t>Life expectancy at birth (SP.DYN.LE00.IN)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93CE43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0.621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5CDAFF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0.386</w:t>
            </w:r>
          </w:p>
        </w:tc>
      </w:tr>
      <w:tr w:rsidR="005F0F63" w14:paraId="0728929E" w14:textId="77777777" w:rsidTr="00951F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E1DD1B" w14:textId="77777777" w:rsidR="005F0F63" w:rsidRPr="00ED7F7B" w:rsidRDefault="005F0F63" w:rsidP="00951FCA">
            <w:pPr>
              <w:rPr>
                <w:lang w:val="en-US"/>
              </w:rPr>
            </w:pPr>
            <w:r w:rsidRPr="00ED7F7B">
              <w:rPr>
                <w:color w:val="000000"/>
                <w:sz w:val="20"/>
                <w:szCs w:val="20"/>
                <w:lang w:val="en-US"/>
              </w:rPr>
              <w:t>Under-5 mortality, reversed (SH.DYN.MORT)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EC0750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0.598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14BE0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0.358</w:t>
            </w:r>
          </w:p>
        </w:tc>
      </w:tr>
      <w:tr w:rsidR="005F0F63" w14:paraId="377A655E" w14:textId="77777777" w:rsidTr="00951F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D5A64" w14:textId="77777777" w:rsidR="005F0F63" w:rsidRPr="00ED7F7B" w:rsidRDefault="005F0F63" w:rsidP="00951FCA">
            <w:pPr>
              <w:rPr>
                <w:lang w:val="en-US"/>
              </w:rPr>
            </w:pPr>
            <w:r w:rsidRPr="00ED7F7B">
              <w:rPr>
                <w:color w:val="000000"/>
                <w:sz w:val="20"/>
                <w:szCs w:val="20"/>
                <w:lang w:val="en-US"/>
              </w:rPr>
              <w:t>Primary school completion (</w:t>
            </w:r>
            <w:proofErr w:type="gramStart"/>
            <w:r w:rsidRPr="00ED7F7B">
              <w:rPr>
                <w:color w:val="000000"/>
                <w:sz w:val="20"/>
                <w:szCs w:val="20"/>
                <w:lang w:val="en-US"/>
              </w:rPr>
              <w:t>SE.PRM.CMPT.ZS</w:t>
            </w:r>
            <w:proofErr w:type="gramEnd"/>
            <w:r w:rsidRPr="00ED7F7B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D1817F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0.507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61D6CE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0.257</w:t>
            </w:r>
          </w:p>
        </w:tc>
      </w:tr>
      <w:tr w:rsidR="005F0F63" w14:paraId="1A123671" w14:textId="77777777" w:rsidTr="00951F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8F9A64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Variance explained by PC1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22E6F7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85.7%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03564B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</w:tbl>
    <w:p w14:paraId="47BF538F" w14:textId="77777777" w:rsidR="005F0F63" w:rsidRPr="00ED7F7B" w:rsidRDefault="005F0F63" w:rsidP="005F0F63">
      <w:pPr>
        <w:spacing w:before="80" w:after="240"/>
        <w:jc w:val="both"/>
        <w:rPr>
          <w:lang w:val="en-US"/>
        </w:rPr>
      </w:pPr>
      <w:r w:rsidRPr="00ED7F7B">
        <w:rPr>
          <w:i/>
          <w:iCs/>
          <w:color w:val="000000"/>
          <w:sz w:val="20"/>
          <w:szCs w:val="20"/>
          <w:lang w:val="en-US"/>
        </w:rPr>
        <w:t>Note: PCA conducted on within-year z-scored indicators. All three indicators load positively on PC1, confirming that higher H scores uniformly indicate greater human capability.</w:t>
      </w:r>
    </w:p>
    <w:p w14:paraId="11F56BDF" w14:textId="77777777" w:rsidR="005F0F63" w:rsidRPr="00ED7F7B" w:rsidRDefault="005F0F63" w:rsidP="005F0F63">
      <w:pPr>
        <w:rPr>
          <w:lang w:val="en-US"/>
        </w:rPr>
      </w:pPr>
    </w:p>
    <w:p w14:paraId="0F37F21A" w14:textId="77777777" w:rsidR="005F0F63" w:rsidRPr="00ED7F7B" w:rsidRDefault="005F0F63" w:rsidP="005F0F63">
      <w:pPr>
        <w:spacing w:after="80" w:line="480" w:lineRule="auto"/>
        <w:jc w:val="center"/>
        <w:rPr>
          <w:lang w:val="en-US"/>
        </w:rPr>
      </w:pPr>
      <w:r w:rsidRPr="00ED7F7B">
        <w:rPr>
          <w:b/>
          <w:bCs/>
          <w:color w:val="000000"/>
          <w:sz w:val="20"/>
          <w:szCs w:val="20"/>
          <w:lang w:val="en-US"/>
        </w:rPr>
        <w:t>Table B2: Technological Access Pillar (</w:t>
      </w:r>
      <w:proofErr w:type="gramStart"/>
      <w:r w:rsidRPr="00ED7F7B">
        <w:rPr>
          <w:b/>
          <w:bCs/>
          <w:color w:val="000000"/>
          <w:sz w:val="20"/>
          <w:szCs w:val="20"/>
          <w:lang w:val="en-US"/>
        </w:rPr>
        <w:t>T) —</w:t>
      </w:r>
      <w:proofErr w:type="gramEnd"/>
      <w:r w:rsidRPr="00ED7F7B">
        <w:rPr>
          <w:b/>
          <w:bCs/>
          <w:color w:val="000000"/>
          <w:sz w:val="20"/>
          <w:szCs w:val="20"/>
          <w:lang w:val="en-US"/>
        </w:rPr>
        <w:t xml:space="preserve"> PCA Results</w:t>
      </w:r>
    </w:p>
    <w:tbl>
      <w:tblPr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1800"/>
        <w:gridCol w:w="2160"/>
      </w:tblGrid>
      <w:tr w:rsidR="005F0F63" w14:paraId="4AAA8C88" w14:textId="77777777" w:rsidTr="00951FCA">
        <w:trPr>
          <w:tblHeader/>
        </w:trPr>
        <w:tc>
          <w:tcPr>
            <w:tcW w:w="450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4F89BD" w14:textId="77777777" w:rsidR="005F0F63" w:rsidRDefault="005F0F63" w:rsidP="00951FCA">
            <w:r>
              <w:rPr>
                <w:b/>
                <w:bCs/>
                <w:color w:val="000000"/>
                <w:sz w:val="20"/>
                <w:szCs w:val="20"/>
              </w:rPr>
              <w:t>Indicator</w:t>
            </w:r>
          </w:p>
        </w:tc>
        <w:tc>
          <w:tcPr>
            <w:tcW w:w="180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3FDA3" w14:textId="77777777" w:rsidR="005F0F63" w:rsidRDefault="005F0F63" w:rsidP="00951FC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PC1 Loading</w:t>
            </w:r>
          </w:p>
        </w:tc>
        <w:tc>
          <w:tcPr>
            <w:tcW w:w="2160" w:type="dxa"/>
            <w:tcBorders>
              <w:top w:val="single" w:sz="16" w:space="0" w:color="000000"/>
              <w:left w:val="none" w:sz="0" w:space="0" w:color="FFFFFF"/>
              <w:bottom w:val="single" w:sz="4" w:space="0" w:color="999999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06384C" w14:textId="77777777" w:rsidR="005F0F63" w:rsidRDefault="005F0F63" w:rsidP="00951FCA"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Communality</w:t>
            </w:r>
          </w:p>
        </w:tc>
      </w:tr>
      <w:tr w:rsidR="005F0F63" w14:paraId="52D579AC" w14:textId="77777777" w:rsidTr="00951F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E1DD8" w14:textId="77777777" w:rsidR="005F0F63" w:rsidRPr="00ED7F7B" w:rsidRDefault="005F0F63" w:rsidP="00951FCA">
            <w:pPr>
              <w:rPr>
                <w:lang w:val="en-US"/>
              </w:rPr>
            </w:pPr>
            <w:r w:rsidRPr="00ED7F7B">
              <w:rPr>
                <w:color w:val="000000"/>
                <w:sz w:val="20"/>
                <w:szCs w:val="20"/>
                <w:lang w:val="en-US"/>
              </w:rPr>
              <w:t>Internet users per 100 (</w:t>
            </w:r>
            <w:proofErr w:type="gramStart"/>
            <w:r w:rsidRPr="00ED7F7B">
              <w:rPr>
                <w:color w:val="000000"/>
                <w:sz w:val="20"/>
                <w:szCs w:val="20"/>
                <w:lang w:val="en-US"/>
              </w:rPr>
              <w:t>IT.NET.USER.ZS</w:t>
            </w:r>
            <w:proofErr w:type="gramEnd"/>
            <w:r w:rsidRPr="00ED7F7B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2B922D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93B6B8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0.500</w:t>
            </w:r>
          </w:p>
        </w:tc>
      </w:tr>
      <w:tr w:rsidR="005F0F63" w14:paraId="6037F7CE" w14:textId="77777777" w:rsidTr="00951F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A9AA9A" w14:textId="77777777" w:rsidR="005F0F63" w:rsidRPr="00ED7F7B" w:rsidRDefault="005F0F63" w:rsidP="00951FCA">
            <w:pPr>
              <w:rPr>
                <w:lang w:val="en-US"/>
              </w:rPr>
            </w:pPr>
            <w:r w:rsidRPr="00ED7F7B">
              <w:rPr>
                <w:color w:val="000000"/>
                <w:sz w:val="20"/>
                <w:szCs w:val="20"/>
                <w:lang w:val="en-US"/>
              </w:rPr>
              <w:t>Mobile subscriptions per 100 (IT.CEL.SETS)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2BE19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0.707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single" w:sz="4" w:space="0" w:color="999999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438AFD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0.500</w:t>
            </w:r>
          </w:p>
        </w:tc>
      </w:tr>
      <w:tr w:rsidR="005F0F63" w14:paraId="00D1E061" w14:textId="77777777" w:rsidTr="00951FCA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2A8941" w14:textId="77777777" w:rsidR="005F0F63" w:rsidRDefault="005F0F63" w:rsidP="00951FCA">
            <w:r>
              <w:rPr>
                <w:color w:val="000000"/>
                <w:sz w:val="20"/>
                <w:szCs w:val="20"/>
              </w:rPr>
              <w:t>Variance explained by PC1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E06047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60.9%</w:t>
            </w:r>
          </w:p>
        </w:tc>
        <w:tc>
          <w:tcPr>
            <w:tcW w:w="216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A3937" w14:textId="77777777" w:rsidR="005F0F63" w:rsidRDefault="005F0F63" w:rsidP="00951FCA">
            <w:pPr>
              <w:jc w:val="center"/>
            </w:pPr>
            <w:r>
              <w:rPr>
                <w:color w:val="000000"/>
                <w:sz w:val="20"/>
                <w:szCs w:val="20"/>
              </w:rPr>
              <w:t>—</w:t>
            </w:r>
          </w:p>
        </w:tc>
      </w:tr>
    </w:tbl>
    <w:p w14:paraId="7785E106" w14:textId="0E99A436" w:rsidR="00A91650" w:rsidRDefault="005F0F63">
      <w:r w:rsidRPr="00ED7F7B">
        <w:rPr>
          <w:i/>
          <w:iCs/>
          <w:color w:val="000000"/>
          <w:sz w:val="20"/>
          <w:szCs w:val="20"/>
          <w:lang w:val="en-US"/>
        </w:rPr>
        <w:t xml:space="preserve">Note: Lower variance explained (60.9% vs 85.7% for H) reflects that internet and mobile penetration diverge across countries some have high mobile but low internet, particularly in earlier years of </w:t>
      </w:r>
      <w:proofErr w:type="spellStart"/>
      <w:r w:rsidRPr="00ED7F7B">
        <w:rPr>
          <w:i/>
          <w:iCs/>
          <w:color w:val="000000"/>
          <w:sz w:val="20"/>
          <w:szCs w:val="20"/>
          <w:lang w:val="en-US"/>
        </w:rPr>
        <w:t>th</w:t>
      </w:r>
      <w:proofErr w:type="spellEnd"/>
    </w:p>
    <w:sectPr w:rsidR="00A9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63"/>
    <w:rsid w:val="000E2EDD"/>
    <w:rsid w:val="005F0F63"/>
    <w:rsid w:val="00A5056E"/>
    <w:rsid w:val="00A91650"/>
    <w:rsid w:val="00E559FE"/>
    <w:rsid w:val="00E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0835"/>
  <w15:chartTrackingRefBased/>
  <w15:docId w15:val="{163A4069-5006-4FCB-9CB3-1EC8AB07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63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F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F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F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F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F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F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F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F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F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F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F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0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F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0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F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Amruta Dange</dc:creator>
  <cp:keywords/>
  <dc:description/>
  <cp:lastModifiedBy>Amruta Dange</cp:lastModifiedBy>
  <cp:revision>1</cp:revision>
  <dcterms:created xsi:type="dcterms:W3CDTF">2026-05-15T16:25:00Z</dcterms:created>
  <dcterms:modified xsi:type="dcterms:W3CDTF">2026-05-15T16:25:00Z</dcterms:modified>
</cp:coreProperties>
</file>