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03032" w:rsidRPr="00C9731B" w:rsidRDefault="00F03032" w:rsidP="00F03032">
      <w:pPr>
        <w:pStyle w:val="Heading2"/>
        <w:rPr>
          <w:rFonts w:ascii="Times New Roman" w:hAnsi="Times New Roman" w:cs="Times New Roman"/>
          <w:color w:val="auto"/>
        </w:rPr>
      </w:pPr>
      <w:r w:rsidRPr="00C9731B">
        <w:rPr>
          <w:rFonts w:ascii="Times New Roman" w:hAnsi="Times New Roman" w:cs="Times New Roman"/>
          <w:color w:val="auto"/>
        </w:rPr>
        <w:t>Appendix</w:t>
      </w:r>
    </w:p>
    <w:p w:rsidR="00F03032" w:rsidRPr="00C9731B" w:rsidRDefault="00F03032" w:rsidP="00F03032">
      <w:pPr>
        <w:spacing w:line="480" w:lineRule="auto"/>
        <w:rPr>
          <w:rFonts w:ascii="Times New Roman" w:hAnsi="Times New Roman" w:cs="Times New Roman"/>
          <w:sz w:val="24"/>
          <w:szCs w:val="24"/>
        </w:rPr>
      </w:pPr>
      <w:bookmarkStart w:id="0" w:name="Appendix1"/>
      <w:r w:rsidRPr="00C9731B">
        <w:rPr>
          <w:rFonts w:ascii="Times New Roman" w:hAnsi="Times New Roman" w:cs="Times New Roman"/>
          <w:b/>
          <w:bCs/>
          <w:sz w:val="24"/>
          <w:szCs w:val="24"/>
        </w:rPr>
        <w:t>Appendix 1</w:t>
      </w:r>
      <w:bookmarkEnd w:id="0"/>
      <w:r w:rsidRPr="00C9731B">
        <w:rPr>
          <w:rFonts w:ascii="Times New Roman" w:hAnsi="Times New Roman" w:cs="Times New Roman"/>
          <w:sz w:val="24"/>
          <w:szCs w:val="24"/>
        </w:rPr>
        <w:t>: Justification for using a CRT search filter.</w:t>
      </w:r>
    </w:p>
    <w:p w:rsidR="00F03032" w:rsidRPr="00C9731B" w:rsidRDefault="00F03032" w:rsidP="00F03032">
      <w:pPr>
        <w:spacing w:line="480" w:lineRule="auto"/>
        <w:rPr>
          <w:rFonts w:ascii="Times New Roman" w:hAnsi="Times New Roman" w:cs="Times New Roman"/>
          <w:sz w:val="24"/>
          <w:szCs w:val="24"/>
        </w:rPr>
      </w:pPr>
      <w:r w:rsidRPr="00C9731B">
        <w:rPr>
          <w:rFonts w:ascii="Times New Roman" w:hAnsi="Times New Roman" w:cs="Times New Roman"/>
          <w:sz w:val="24"/>
          <w:szCs w:val="24"/>
        </w:rPr>
        <w:t xml:space="preserve">We created a dataset of CRT and non-CRT articles to train and internally validate our machine learning algorithms. Given that the prevalence of CRTs is less than 0.1% in bibliographic databases, we would have needed to screen at least 500,000 articles to identify 500 CRT articles, an inefficient and cumbersome process. Therefore, we used a CRT search filter to increase the prevalence of relevant articles retrieved in our bibliographic search, where we expected about 10% to 15% of articles would be CRTs </w:t>
      </w:r>
      <w:r w:rsidRPr="00C9731B">
        <w:rPr>
          <w:rFonts w:ascii="Times New Roman" w:hAnsi="Times New Roman" w:cs="Times New Roman"/>
          <w:sz w:val="24"/>
          <w:szCs w:val="24"/>
        </w:rPr>
        <w:fldChar w:fldCharType="begin" w:fldLock="1"/>
      </w:r>
      <w:r w:rsidRPr="00C9731B">
        <w:rPr>
          <w:rFonts w:ascii="Times New Roman" w:hAnsi="Times New Roman" w:cs="Times New Roman"/>
          <w:sz w:val="24"/>
          <w:szCs w:val="24"/>
        </w:rPr>
        <w:instrText>ADDIN CSL_CITATION {"citationItems":[{"id":"ITEM-1","itemData":{"DOI":"10.1186/1471-2288-10-15","ISSN":"1471-2288","PMID":"20158899","abstract":"BACKGROUND Cluster randomized trials (CRTs) present unique methodological and ethical challenges. Researchers conducting systematic reviews of CRTs (e.g., addressing methodological or ethical issues) require efficient electronic search strategies (filters or hedges) to identify trials in electronic databases such as MEDLINE. According to the CONSORT statement extension to CRTs, the clustered design should be clearly identified in titles or abstracts; however, variability in terminology may make electronic identification challenging. Our objectives were to (a) evaluate sensitivity (\"recall\") and precision of a well-known electronic search strategy (\"randomized controlled trial\" as publication type) with respect to identifying CRTs, (b) evaluate the feasibility of new search strategies targeted specifically at CRTs, and (c) determine whether CRTs are appropriately identified in titles or abstracts of reports and whether there has been improvement over time. METHODS We manually examined a wide range of health journals to identify a gold standard set of CRTs. Search strategies were evaluated against the gold standard set, as well as an independent set of CRTs included in previous systematic reviews. RESULTS The existing strategy (randomized controlled trial.pt) is sensitive (93.8%) for identifying CRTs, but has relatively low precision (9%, number needed to read 11); the number needed to read can be halved to 5 (precision 18.4%) by combining with cluster design-related terms using the Boolean operator AND; combining with the Boolean operator OR maximizes sensitivity (99.4%) but would require 28.6 citations read to identify one CRT. Only about 50% of CRTs are clearly identified as cluster randomized in titles or abstracts; approximately 25% can be identified based on the reported units of randomization but are not amenable to electronic searching; the remaining 25% cannot be identified except through manual inspection of the full-text article. The proportion of trials clearly identified has increased from 28% between the years 2000-2003, to 60% between 2004-2007 (absolute increase 32%, 95% CI 17 to 47%). CONCLUSIONS CRTs should include the phrase \"cluster randomized trial\" in titles or abstracts; this will facilitate more accurate indexing of the publication type by reviewers at the National Library of Medicine, and efficient textword retrieval of the subset employing cluster randomization.","author":[{"dropping-particle":"","family":"Taljaard","given":"Monica","non-dropping-particle":"","parse-names":false,"suffix":""},{"dropping-particle":"","family":"McGowan","given":"Jessie","non-dropping-particle":"","parse-names":false,"suffix":""},{"dropping-particle":"","family":"Grimshaw","given":"Jeremy M","non-dropping-particle":"","parse-names":false,"suffix":""},{"dropping-particle":"","family":"Brehaut","given":"Jamie C","non-dropping-particle":"","parse-names":false,"suffix":""},{"dropping-particle":"","family":"McRae","given":"Andrew","non-dropping-particle":"","parse-names":false,"suffix":""},{"dropping-particle":"","family":"Eccles","given":"Martin P","non-dropping-particle":"","parse-names":false,"suffix":""},{"dropping-particle":"","family":"Donner","given":"Allan","non-dropping-particle":"","parse-names":false,"suffix":""}],"container-title":"BMC medical research methodology","id":"ITEM-1","issue":"1","issued":{"date-parts":[["2010","2","16"]]},"page":"15","title":"Electronic search strategies to identify reports of cluster randomized trials in MEDLINE: low precision will improve with adherence to reporting standards.","type":"article-journal","volume":"10"},"uris":["http://www.mendeley.com/documents/?uuid=9c726227-a912-3193-ab70-66b4584cab7b"]}],"mendeley":{"formattedCitation":"(12)","plainTextFormattedCitation":"(12)","previouslyFormattedCitation":"(12)"},"properties":{"noteIndex":0},"schema":"https://github.com/citation-style-language/schema/raw/master/csl-citation.json"}</w:instrText>
      </w:r>
      <w:r w:rsidRPr="00C9731B">
        <w:rPr>
          <w:rFonts w:ascii="Times New Roman" w:hAnsi="Times New Roman" w:cs="Times New Roman"/>
          <w:sz w:val="24"/>
          <w:szCs w:val="24"/>
        </w:rPr>
        <w:fldChar w:fldCharType="separate"/>
      </w:r>
      <w:r w:rsidRPr="00C9731B">
        <w:rPr>
          <w:rFonts w:ascii="Times New Roman" w:hAnsi="Times New Roman" w:cs="Times New Roman"/>
          <w:noProof/>
          <w:sz w:val="24"/>
          <w:szCs w:val="24"/>
        </w:rPr>
        <w:t>(12)</w:t>
      </w:r>
      <w:r w:rsidRPr="00C9731B">
        <w:rPr>
          <w:rFonts w:ascii="Times New Roman" w:hAnsi="Times New Roman" w:cs="Times New Roman"/>
          <w:sz w:val="24"/>
          <w:szCs w:val="24"/>
        </w:rPr>
        <w:fldChar w:fldCharType="end"/>
      </w:r>
      <w:r w:rsidRPr="00C9731B">
        <w:rPr>
          <w:rFonts w:ascii="Times New Roman" w:hAnsi="Times New Roman" w:cs="Times New Roman"/>
          <w:sz w:val="24"/>
          <w:szCs w:val="24"/>
        </w:rPr>
        <w:t>.</w:t>
      </w:r>
    </w:p>
    <w:p w:rsidR="00F03032" w:rsidRPr="00C9731B" w:rsidRDefault="00F03032" w:rsidP="00F03032">
      <w:pPr>
        <w:rPr>
          <w:rFonts w:ascii="Times New Roman" w:hAnsi="Times New Roman" w:cs="Times New Roman"/>
          <w:sz w:val="24"/>
          <w:szCs w:val="24"/>
        </w:rPr>
      </w:pPr>
      <w:r w:rsidRPr="00C9731B">
        <w:rPr>
          <w:rFonts w:ascii="Times New Roman" w:hAnsi="Times New Roman" w:cs="Times New Roman"/>
          <w:sz w:val="24"/>
          <w:szCs w:val="24"/>
        </w:rPr>
        <w:t>Search syntax to identify articles in Medline between Jan 1</w:t>
      </w:r>
      <w:r w:rsidRPr="00C9731B">
        <w:rPr>
          <w:rFonts w:ascii="Times New Roman" w:hAnsi="Times New Roman" w:cs="Times New Roman"/>
          <w:sz w:val="24"/>
          <w:szCs w:val="24"/>
          <w:vertAlign w:val="superscript"/>
        </w:rPr>
        <w:t>st</w:t>
      </w:r>
      <w:r w:rsidRPr="00C9731B">
        <w:rPr>
          <w:rFonts w:ascii="Times New Roman" w:hAnsi="Times New Roman" w:cs="Times New Roman"/>
          <w:sz w:val="24"/>
          <w:szCs w:val="24"/>
        </w:rPr>
        <w:t>, 2000 and Dec 31</w:t>
      </w:r>
      <w:r w:rsidRPr="00C9731B">
        <w:rPr>
          <w:rFonts w:ascii="Times New Roman" w:hAnsi="Times New Roman" w:cs="Times New Roman"/>
          <w:sz w:val="24"/>
          <w:szCs w:val="24"/>
          <w:vertAlign w:val="superscript"/>
        </w:rPr>
        <w:t>st</w:t>
      </w:r>
      <w:r w:rsidRPr="00C9731B">
        <w:rPr>
          <w:rFonts w:ascii="Times New Roman" w:hAnsi="Times New Roman" w:cs="Times New Roman"/>
          <w:sz w:val="24"/>
          <w:szCs w:val="24"/>
        </w:rPr>
        <w:t>, 2019 in EMBASE Classic+ EMBASE, Ovid MEDLINE(R) Epub Ahead of Print, In-Process &amp; Other Non-Indexed Citations, Ovid MEDLINE(R) Daily, and Ovid MEDLINE(R).</w:t>
      </w:r>
    </w:p>
    <w:tbl>
      <w:tblPr>
        <w:tblW w:w="8475" w:type="dxa"/>
        <w:tblLook w:val="04A0" w:firstRow="1" w:lastRow="0" w:firstColumn="1" w:lastColumn="0" w:noHBand="0" w:noVBand="1"/>
      </w:tblPr>
      <w:tblGrid>
        <w:gridCol w:w="1240"/>
        <w:gridCol w:w="6126"/>
        <w:gridCol w:w="1109"/>
      </w:tblGrid>
      <w:tr w:rsidR="00F03032" w:rsidRPr="00C9731B" w:rsidTr="00250DFE">
        <w:trPr>
          <w:trHeight w:val="300"/>
        </w:trPr>
        <w:tc>
          <w:tcPr>
            <w:tcW w:w="12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03032" w:rsidRPr="00C9731B" w:rsidRDefault="00F03032" w:rsidP="00250DFE">
            <w:pPr>
              <w:spacing w:after="0" w:line="240" w:lineRule="auto"/>
              <w:rPr>
                <w:rFonts w:ascii="Times New Roman" w:eastAsia="Times New Roman" w:hAnsi="Times New Roman" w:cs="Times New Roman"/>
                <w:b/>
                <w:bCs/>
                <w:lang w:eastAsia="en-CA"/>
              </w:rPr>
            </w:pPr>
            <w:r w:rsidRPr="00C9731B">
              <w:rPr>
                <w:rFonts w:ascii="Times New Roman" w:eastAsia="Times New Roman" w:hAnsi="Times New Roman" w:cs="Times New Roman"/>
                <w:b/>
                <w:bCs/>
                <w:lang w:eastAsia="en-CA"/>
              </w:rPr>
              <w:t>Search No.</w:t>
            </w:r>
          </w:p>
        </w:tc>
        <w:tc>
          <w:tcPr>
            <w:tcW w:w="612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03032" w:rsidRPr="00C9731B" w:rsidRDefault="00F03032" w:rsidP="00250DFE">
            <w:pPr>
              <w:spacing w:after="0" w:line="240" w:lineRule="auto"/>
              <w:rPr>
                <w:rFonts w:ascii="Times New Roman" w:eastAsia="Times New Roman" w:hAnsi="Times New Roman" w:cs="Times New Roman"/>
                <w:b/>
                <w:bCs/>
                <w:lang w:eastAsia="en-CA"/>
              </w:rPr>
            </w:pPr>
            <w:r w:rsidRPr="00C9731B">
              <w:rPr>
                <w:rFonts w:ascii="Times New Roman" w:eastAsia="Times New Roman" w:hAnsi="Times New Roman" w:cs="Times New Roman"/>
                <w:b/>
                <w:bCs/>
                <w:lang w:eastAsia="en-CA"/>
              </w:rPr>
              <w:t>Search</w:t>
            </w:r>
          </w:p>
        </w:tc>
        <w:tc>
          <w:tcPr>
            <w:tcW w:w="11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03032" w:rsidRPr="00C9731B" w:rsidRDefault="00F03032" w:rsidP="00250DFE">
            <w:pPr>
              <w:spacing w:after="0" w:line="240" w:lineRule="auto"/>
              <w:rPr>
                <w:rFonts w:ascii="Times New Roman" w:eastAsia="Times New Roman" w:hAnsi="Times New Roman" w:cs="Times New Roman"/>
                <w:b/>
                <w:bCs/>
                <w:lang w:eastAsia="en-CA"/>
              </w:rPr>
            </w:pPr>
            <w:r w:rsidRPr="00C9731B">
              <w:rPr>
                <w:rFonts w:ascii="Times New Roman" w:eastAsia="Times New Roman" w:hAnsi="Times New Roman" w:cs="Times New Roman"/>
                <w:b/>
                <w:bCs/>
                <w:lang w:eastAsia="en-CA"/>
              </w:rPr>
              <w:t>Records</w:t>
            </w:r>
          </w:p>
        </w:tc>
      </w:tr>
      <w:tr w:rsidR="00F03032" w:rsidRPr="00C9731B" w:rsidTr="00250DFE">
        <w:trPr>
          <w:trHeight w:val="300"/>
        </w:trPr>
        <w:tc>
          <w:tcPr>
            <w:tcW w:w="12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03032" w:rsidRPr="00C9731B" w:rsidRDefault="00F03032" w:rsidP="00250DFE">
            <w:pPr>
              <w:spacing w:after="0" w:line="240" w:lineRule="auto"/>
              <w:jc w:val="right"/>
              <w:rPr>
                <w:rFonts w:ascii="Times New Roman" w:eastAsia="Times New Roman" w:hAnsi="Times New Roman" w:cs="Times New Roman"/>
                <w:lang w:eastAsia="en-CA"/>
              </w:rPr>
            </w:pPr>
            <w:r w:rsidRPr="00C9731B">
              <w:rPr>
                <w:rFonts w:ascii="Times New Roman" w:eastAsia="Times New Roman" w:hAnsi="Times New Roman" w:cs="Times New Roman"/>
                <w:lang w:eastAsia="en-CA"/>
              </w:rPr>
              <w:t>1</w:t>
            </w:r>
          </w:p>
        </w:tc>
        <w:tc>
          <w:tcPr>
            <w:tcW w:w="6126" w:type="dxa"/>
            <w:tcBorders>
              <w:top w:val="nil"/>
              <w:left w:val="nil"/>
              <w:bottom w:val="single" w:sz="4" w:space="0" w:color="auto"/>
              <w:right w:val="single" w:sz="4" w:space="0" w:color="auto"/>
            </w:tcBorders>
            <w:shd w:val="clear" w:color="auto" w:fill="auto"/>
            <w:noWrap/>
            <w:vAlign w:val="bottom"/>
            <w:hideMark/>
          </w:tcPr>
          <w:p w:rsidR="00F03032" w:rsidRPr="00C9731B" w:rsidRDefault="00F03032" w:rsidP="00250DFE">
            <w:pPr>
              <w:spacing w:after="0" w:line="240" w:lineRule="auto"/>
              <w:rPr>
                <w:rFonts w:ascii="Times New Roman" w:eastAsia="Times New Roman" w:hAnsi="Times New Roman" w:cs="Times New Roman"/>
                <w:lang w:eastAsia="en-CA"/>
              </w:rPr>
            </w:pPr>
            <w:r w:rsidRPr="00C9731B">
              <w:rPr>
                <w:rFonts w:ascii="Times New Roman" w:eastAsia="Times New Roman" w:hAnsi="Times New Roman" w:cs="Times New Roman"/>
                <w:lang w:eastAsia="en-CA"/>
              </w:rPr>
              <w:t> randomized controlled trial.pt.</w:t>
            </w:r>
          </w:p>
        </w:tc>
        <w:tc>
          <w:tcPr>
            <w:tcW w:w="11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03032" w:rsidRPr="00C9731B" w:rsidRDefault="00F03032" w:rsidP="00250DFE">
            <w:pPr>
              <w:spacing w:after="0" w:line="240" w:lineRule="auto"/>
              <w:jc w:val="right"/>
              <w:rPr>
                <w:rFonts w:ascii="Times New Roman" w:eastAsia="Times New Roman" w:hAnsi="Times New Roman" w:cs="Times New Roman"/>
                <w:lang w:eastAsia="en-CA"/>
              </w:rPr>
            </w:pPr>
            <w:r w:rsidRPr="00C9731B">
              <w:rPr>
                <w:rFonts w:ascii="Times New Roman" w:eastAsia="Times New Roman" w:hAnsi="Times New Roman" w:cs="Times New Roman"/>
                <w:lang w:eastAsia="en-CA"/>
              </w:rPr>
              <w:t>525702</w:t>
            </w:r>
          </w:p>
        </w:tc>
      </w:tr>
      <w:tr w:rsidR="00F03032" w:rsidRPr="00C9731B" w:rsidTr="00250DFE">
        <w:trPr>
          <w:trHeight w:val="300"/>
        </w:trPr>
        <w:tc>
          <w:tcPr>
            <w:tcW w:w="12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03032" w:rsidRPr="00C9731B" w:rsidRDefault="00F03032" w:rsidP="00250DFE">
            <w:pPr>
              <w:spacing w:after="0" w:line="240" w:lineRule="auto"/>
              <w:jc w:val="right"/>
              <w:rPr>
                <w:rFonts w:ascii="Times New Roman" w:eastAsia="Times New Roman" w:hAnsi="Times New Roman" w:cs="Times New Roman"/>
                <w:lang w:eastAsia="en-CA"/>
              </w:rPr>
            </w:pPr>
            <w:r w:rsidRPr="00C9731B">
              <w:rPr>
                <w:rFonts w:ascii="Times New Roman" w:eastAsia="Times New Roman" w:hAnsi="Times New Roman" w:cs="Times New Roman"/>
                <w:lang w:eastAsia="en-CA"/>
              </w:rPr>
              <w:t>2</w:t>
            </w:r>
          </w:p>
        </w:tc>
        <w:tc>
          <w:tcPr>
            <w:tcW w:w="6126" w:type="dxa"/>
            <w:tcBorders>
              <w:top w:val="nil"/>
              <w:left w:val="nil"/>
              <w:bottom w:val="single" w:sz="4" w:space="0" w:color="auto"/>
              <w:right w:val="single" w:sz="4" w:space="0" w:color="auto"/>
            </w:tcBorders>
            <w:shd w:val="clear" w:color="auto" w:fill="auto"/>
            <w:noWrap/>
            <w:vAlign w:val="bottom"/>
            <w:hideMark/>
          </w:tcPr>
          <w:p w:rsidR="00F03032" w:rsidRPr="00C9731B" w:rsidRDefault="00F03032" w:rsidP="00250DFE">
            <w:pPr>
              <w:spacing w:after="0" w:line="240" w:lineRule="auto"/>
              <w:rPr>
                <w:rFonts w:ascii="Times New Roman" w:eastAsia="Times New Roman" w:hAnsi="Times New Roman" w:cs="Times New Roman"/>
                <w:lang w:eastAsia="en-CA"/>
              </w:rPr>
            </w:pPr>
            <w:r w:rsidRPr="00C9731B">
              <w:rPr>
                <w:rFonts w:ascii="Times New Roman" w:eastAsia="Times New Roman" w:hAnsi="Times New Roman" w:cs="Times New Roman"/>
                <w:lang w:eastAsia="en-CA"/>
              </w:rPr>
              <w:t> animals/</w:t>
            </w:r>
          </w:p>
        </w:tc>
        <w:tc>
          <w:tcPr>
            <w:tcW w:w="11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03032" w:rsidRPr="00C9731B" w:rsidRDefault="00F03032" w:rsidP="00250DFE">
            <w:pPr>
              <w:spacing w:after="0" w:line="240" w:lineRule="auto"/>
              <w:jc w:val="right"/>
              <w:rPr>
                <w:rFonts w:ascii="Times New Roman" w:eastAsia="Times New Roman" w:hAnsi="Times New Roman" w:cs="Times New Roman"/>
                <w:lang w:eastAsia="en-CA"/>
              </w:rPr>
            </w:pPr>
            <w:r w:rsidRPr="00C9731B">
              <w:rPr>
                <w:rFonts w:ascii="Times New Roman" w:eastAsia="Times New Roman" w:hAnsi="Times New Roman" w:cs="Times New Roman"/>
                <w:lang w:eastAsia="en-CA"/>
              </w:rPr>
              <w:t>8037797</w:t>
            </w:r>
          </w:p>
        </w:tc>
      </w:tr>
      <w:tr w:rsidR="00F03032" w:rsidRPr="00C9731B" w:rsidTr="00250DFE">
        <w:trPr>
          <w:trHeight w:val="300"/>
        </w:trPr>
        <w:tc>
          <w:tcPr>
            <w:tcW w:w="12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03032" w:rsidRPr="00C9731B" w:rsidRDefault="00F03032" w:rsidP="00250DFE">
            <w:pPr>
              <w:spacing w:after="0" w:line="240" w:lineRule="auto"/>
              <w:jc w:val="right"/>
              <w:rPr>
                <w:rFonts w:ascii="Times New Roman" w:eastAsia="Times New Roman" w:hAnsi="Times New Roman" w:cs="Times New Roman"/>
                <w:lang w:eastAsia="en-CA"/>
              </w:rPr>
            </w:pPr>
            <w:r w:rsidRPr="00C9731B">
              <w:rPr>
                <w:rFonts w:ascii="Times New Roman" w:eastAsia="Times New Roman" w:hAnsi="Times New Roman" w:cs="Times New Roman"/>
                <w:lang w:eastAsia="en-CA"/>
              </w:rPr>
              <w:t>3</w:t>
            </w:r>
          </w:p>
        </w:tc>
        <w:tc>
          <w:tcPr>
            <w:tcW w:w="6126" w:type="dxa"/>
            <w:tcBorders>
              <w:top w:val="nil"/>
              <w:left w:val="nil"/>
              <w:bottom w:val="single" w:sz="4" w:space="0" w:color="auto"/>
              <w:right w:val="single" w:sz="4" w:space="0" w:color="auto"/>
            </w:tcBorders>
            <w:shd w:val="clear" w:color="auto" w:fill="auto"/>
            <w:noWrap/>
            <w:vAlign w:val="bottom"/>
            <w:hideMark/>
          </w:tcPr>
          <w:p w:rsidR="00F03032" w:rsidRPr="00C9731B" w:rsidRDefault="00F03032" w:rsidP="00250DFE">
            <w:pPr>
              <w:spacing w:after="0" w:line="240" w:lineRule="auto"/>
              <w:rPr>
                <w:rFonts w:ascii="Times New Roman" w:eastAsia="Times New Roman" w:hAnsi="Times New Roman" w:cs="Times New Roman"/>
                <w:lang w:eastAsia="en-CA"/>
              </w:rPr>
            </w:pPr>
            <w:r w:rsidRPr="00C9731B">
              <w:rPr>
                <w:rFonts w:ascii="Times New Roman" w:eastAsia="Times New Roman" w:hAnsi="Times New Roman" w:cs="Times New Roman"/>
                <w:lang w:eastAsia="en-CA"/>
              </w:rPr>
              <w:t> humans/</w:t>
            </w:r>
          </w:p>
        </w:tc>
        <w:tc>
          <w:tcPr>
            <w:tcW w:w="11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03032" w:rsidRPr="00C9731B" w:rsidRDefault="00F03032" w:rsidP="00250DFE">
            <w:pPr>
              <w:spacing w:after="0" w:line="240" w:lineRule="auto"/>
              <w:jc w:val="right"/>
              <w:rPr>
                <w:rFonts w:ascii="Times New Roman" w:eastAsia="Times New Roman" w:hAnsi="Times New Roman" w:cs="Times New Roman"/>
                <w:lang w:eastAsia="en-CA"/>
              </w:rPr>
            </w:pPr>
            <w:r w:rsidRPr="00C9731B">
              <w:rPr>
                <w:rFonts w:ascii="Times New Roman" w:eastAsia="Times New Roman" w:hAnsi="Times New Roman" w:cs="Times New Roman"/>
                <w:lang w:eastAsia="en-CA"/>
              </w:rPr>
              <w:t>32495688</w:t>
            </w:r>
          </w:p>
        </w:tc>
      </w:tr>
      <w:tr w:rsidR="00F03032" w:rsidRPr="00C9731B" w:rsidTr="00250DFE">
        <w:trPr>
          <w:trHeight w:val="300"/>
        </w:trPr>
        <w:tc>
          <w:tcPr>
            <w:tcW w:w="12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03032" w:rsidRPr="00C9731B" w:rsidRDefault="00F03032" w:rsidP="00250DFE">
            <w:pPr>
              <w:spacing w:after="0" w:line="240" w:lineRule="auto"/>
              <w:jc w:val="right"/>
              <w:rPr>
                <w:rFonts w:ascii="Times New Roman" w:eastAsia="Times New Roman" w:hAnsi="Times New Roman" w:cs="Times New Roman"/>
                <w:lang w:eastAsia="en-CA"/>
              </w:rPr>
            </w:pPr>
            <w:r w:rsidRPr="00C9731B">
              <w:rPr>
                <w:rFonts w:ascii="Times New Roman" w:eastAsia="Times New Roman" w:hAnsi="Times New Roman" w:cs="Times New Roman"/>
                <w:lang w:eastAsia="en-CA"/>
              </w:rPr>
              <w:t>4</w:t>
            </w:r>
          </w:p>
        </w:tc>
        <w:tc>
          <w:tcPr>
            <w:tcW w:w="6126" w:type="dxa"/>
            <w:tcBorders>
              <w:top w:val="nil"/>
              <w:left w:val="nil"/>
              <w:bottom w:val="single" w:sz="4" w:space="0" w:color="auto"/>
              <w:right w:val="single" w:sz="4" w:space="0" w:color="auto"/>
            </w:tcBorders>
            <w:shd w:val="clear" w:color="auto" w:fill="auto"/>
            <w:noWrap/>
            <w:vAlign w:val="bottom"/>
            <w:hideMark/>
          </w:tcPr>
          <w:p w:rsidR="00F03032" w:rsidRPr="00C9731B" w:rsidRDefault="00F03032" w:rsidP="00250DFE">
            <w:pPr>
              <w:spacing w:after="0" w:line="240" w:lineRule="auto"/>
              <w:rPr>
                <w:rFonts w:ascii="Times New Roman" w:eastAsia="Times New Roman" w:hAnsi="Times New Roman" w:cs="Times New Roman"/>
                <w:lang w:eastAsia="en-CA"/>
              </w:rPr>
            </w:pPr>
            <w:r w:rsidRPr="00C9731B">
              <w:rPr>
                <w:rFonts w:ascii="Times New Roman" w:eastAsia="Times New Roman" w:hAnsi="Times New Roman" w:cs="Times New Roman"/>
                <w:lang w:eastAsia="en-CA"/>
              </w:rPr>
              <w:t> 2 not (2 and 3)</w:t>
            </w:r>
          </w:p>
        </w:tc>
        <w:tc>
          <w:tcPr>
            <w:tcW w:w="11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03032" w:rsidRPr="00C9731B" w:rsidRDefault="00F03032" w:rsidP="00250DFE">
            <w:pPr>
              <w:spacing w:after="0" w:line="240" w:lineRule="auto"/>
              <w:jc w:val="right"/>
              <w:rPr>
                <w:rFonts w:ascii="Times New Roman" w:eastAsia="Times New Roman" w:hAnsi="Times New Roman" w:cs="Times New Roman"/>
                <w:lang w:eastAsia="en-CA"/>
              </w:rPr>
            </w:pPr>
            <w:r w:rsidRPr="00C9731B">
              <w:rPr>
                <w:rFonts w:ascii="Times New Roman" w:eastAsia="Times New Roman" w:hAnsi="Times New Roman" w:cs="Times New Roman"/>
                <w:lang w:eastAsia="en-CA"/>
              </w:rPr>
              <w:t>5739131</w:t>
            </w:r>
          </w:p>
        </w:tc>
      </w:tr>
      <w:tr w:rsidR="00F03032" w:rsidRPr="00C9731B" w:rsidTr="00250DFE">
        <w:trPr>
          <w:trHeight w:val="300"/>
        </w:trPr>
        <w:tc>
          <w:tcPr>
            <w:tcW w:w="12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03032" w:rsidRPr="00C9731B" w:rsidRDefault="00F03032" w:rsidP="00250DFE">
            <w:pPr>
              <w:spacing w:after="0" w:line="240" w:lineRule="auto"/>
              <w:jc w:val="right"/>
              <w:rPr>
                <w:rFonts w:ascii="Times New Roman" w:eastAsia="Times New Roman" w:hAnsi="Times New Roman" w:cs="Times New Roman"/>
                <w:lang w:eastAsia="en-CA"/>
              </w:rPr>
            </w:pPr>
            <w:r w:rsidRPr="00C9731B">
              <w:rPr>
                <w:rFonts w:ascii="Times New Roman" w:eastAsia="Times New Roman" w:hAnsi="Times New Roman" w:cs="Times New Roman"/>
                <w:lang w:eastAsia="en-CA"/>
              </w:rPr>
              <w:t>5</w:t>
            </w:r>
          </w:p>
        </w:tc>
        <w:tc>
          <w:tcPr>
            <w:tcW w:w="6126" w:type="dxa"/>
            <w:tcBorders>
              <w:top w:val="nil"/>
              <w:left w:val="nil"/>
              <w:bottom w:val="single" w:sz="4" w:space="0" w:color="auto"/>
              <w:right w:val="single" w:sz="4" w:space="0" w:color="auto"/>
            </w:tcBorders>
            <w:shd w:val="clear" w:color="auto" w:fill="auto"/>
            <w:noWrap/>
            <w:vAlign w:val="bottom"/>
            <w:hideMark/>
          </w:tcPr>
          <w:p w:rsidR="00F03032" w:rsidRPr="00C9731B" w:rsidRDefault="00F03032" w:rsidP="00250DFE">
            <w:pPr>
              <w:spacing w:after="0" w:line="240" w:lineRule="auto"/>
              <w:rPr>
                <w:rFonts w:ascii="Times New Roman" w:eastAsia="Times New Roman" w:hAnsi="Times New Roman" w:cs="Times New Roman"/>
                <w:lang w:eastAsia="en-CA"/>
              </w:rPr>
            </w:pPr>
            <w:r w:rsidRPr="00C9731B">
              <w:rPr>
                <w:rFonts w:ascii="Times New Roman" w:eastAsia="Times New Roman" w:hAnsi="Times New Roman" w:cs="Times New Roman"/>
                <w:lang w:eastAsia="en-CA"/>
              </w:rPr>
              <w:t> 1 not 4</w:t>
            </w:r>
          </w:p>
        </w:tc>
        <w:tc>
          <w:tcPr>
            <w:tcW w:w="11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03032" w:rsidRPr="00C9731B" w:rsidRDefault="00F03032" w:rsidP="00250DFE">
            <w:pPr>
              <w:spacing w:after="0" w:line="240" w:lineRule="auto"/>
              <w:jc w:val="right"/>
              <w:rPr>
                <w:rFonts w:ascii="Times New Roman" w:eastAsia="Times New Roman" w:hAnsi="Times New Roman" w:cs="Times New Roman"/>
                <w:lang w:eastAsia="en-CA"/>
              </w:rPr>
            </w:pPr>
            <w:r w:rsidRPr="00C9731B">
              <w:rPr>
                <w:rFonts w:ascii="Times New Roman" w:eastAsia="Times New Roman" w:hAnsi="Times New Roman" w:cs="Times New Roman"/>
                <w:lang w:eastAsia="en-CA"/>
              </w:rPr>
              <w:t>514156</w:t>
            </w:r>
          </w:p>
        </w:tc>
      </w:tr>
      <w:tr w:rsidR="00F03032" w:rsidRPr="00C9731B" w:rsidTr="00250DFE">
        <w:trPr>
          <w:trHeight w:val="300"/>
        </w:trPr>
        <w:tc>
          <w:tcPr>
            <w:tcW w:w="12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03032" w:rsidRPr="00C9731B" w:rsidRDefault="00F03032" w:rsidP="00250DFE">
            <w:pPr>
              <w:spacing w:after="0" w:line="240" w:lineRule="auto"/>
              <w:jc w:val="right"/>
              <w:rPr>
                <w:rFonts w:ascii="Times New Roman" w:eastAsia="Times New Roman" w:hAnsi="Times New Roman" w:cs="Times New Roman"/>
                <w:lang w:eastAsia="en-CA"/>
              </w:rPr>
            </w:pPr>
            <w:r w:rsidRPr="00C9731B">
              <w:rPr>
                <w:rFonts w:ascii="Times New Roman" w:eastAsia="Times New Roman" w:hAnsi="Times New Roman" w:cs="Times New Roman"/>
                <w:lang w:eastAsia="en-CA"/>
              </w:rPr>
              <w:t>6</w:t>
            </w:r>
          </w:p>
        </w:tc>
        <w:tc>
          <w:tcPr>
            <w:tcW w:w="6126" w:type="dxa"/>
            <w:tcBorders>
              <w:top w:val="nil"/>
              <w:left w:val="nil"/>
              <w:bottom w:val="single" w:sz="4" w:space="0" w:color="auto"/>
              <w:right w:val="single" w:sz="4" w:space="0" w:color="auto"/>
            </w:tcBorders>
            <w:shd w:val="clear" w:color="auto" w:fill="auto"/>
            <w:noWrap/>
            <w:vAlign w:val="bottom"/>
            <w:hideMark/>
          </w:tcPr>
          <w:p w:rsidR="00F03032" w:rsidRPr="00C9731B" w:rsidRDefault="00F03032" w:rsidP="00250DFE">
            <w:pPr>
              <w:spacing w:after="0" w:line="240" w:lineRule="auto"/>
              <w:rPr>
                <w:rFonts w:ascii="Times New Roman" w:eastAsia="Times New Roman" w:hAnsi="Times New Roman" w:cs="Times New Roman"/>
                <w:lang w:eastAsia="en-CA"/>
              </w:rPr>
            </w:pPr>
            <w:r w:rsidRPr="00C9731B">
              <w:rPr>
                <w:rFonts w:ascii="Times New Roman" w:eastAsia="Times New Roman" w:hAnsi="Times New Roman" w:cs="Times New Roman"/>
                <w:lang w:eastAsia="en-CA"/>
              </w:rPr>
              <w:t> (cluster$ adj2 randomi$).tw.</w:t>
            </w:r>
          </w:p>
        </w:tc>
        <w:tc>
          <w:tcPr>
            <w:tcW w:w="11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03032" w:rsidRPr="00C9731B" w:rsidRDefault="00F03032" w:rsidP="00250DFE">
            <w:pPr>
              <w:spacing w:after="0" w:line="240" w:lineRule="auto"/>
              <w:jc w:val="right"/>
              <w:rPr>
                <w:rFonts w:ascii="Times New Roman" w:eastAsia="Times New Roman" w:hAnsi="Times New Roman" w:cs="Times New Roman"/>
                <w:lang w:eastAsia="en-CA"/>
              </w:rPr>
            </w:pPr>
            <w:r w:rsidRPr="00C9731B">
              <w:rPr>
                <w:rFonts w:ascii="Times New Roman" w:eastAsia="Times New Roman" w:hAnsi="Times New Roman" w:cs="Times New Roman"/>
                <w:lang w:eastAsia="en-CA"/>
              </w:rPr>
              <w:t>30283</w:t>
            </w:r>
          </w:p>
        </w:tc>
      </w:tr>
      <w:tr w:rsidR="00F03032" w:rsidRPr="00C9731B" w:rsidTr="00250DFE">
        <w:trPr>
          <w:trHeight w:val="300"/>
        </w:trPr>
        <w:tc>
          <w:tcPr>
            <w:tcW w:w="12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03032" w:rsidRPr="00C9731B" w:rsidRDefault="00F03032" w:rsidP="00250DFE">
            <w:pPr>
              <w:spacing w:after="0" w:line="240" w:lineRule="auto"/>
              <w:jc w:val="right"/>
              <w:rPr>
                <w:rFonts w:ascii="Times New Roman" w:eastAsia="Times New Roman" w:hAnsi="Times New Roman" w:cs="Times New Roman"/>
                <w:lang w:eastAsia="en-CA"/>
              </w:rPr>
            </w:pPr>
            <w:r w:rsidRPr="00C9731B">
              <w:rPr>
                <w:rFonts w:ascii="Times New Roman" w:eastAsia="Times New Roman" w:hAnsi="Times New Roman" w:cs="Times New Roman"/>
                <w:lang w:eastAsia="en-CA"/>
              </w:rPr>
              <w:t>7</w:t>
            </w:r>
          </w:p>
        </w:tc>
        <w:tc>
          <w:tcPr>
            <w:tcW w:w="6126" w:type="dxa"/>
            <w:tcBorders>
              <w:top w:val="nil"/>
              <w:left w:val="nil"/>
              <w:bottom w:val="single" w:sz="4" w:space="0" w:color="auto"/>
              <w:right w:val="single" w:sz="4" w:space="0" w:color="auto"/>
            </w:tcBorders>
            <w:shd w:val="clear" w:color="auto" w:fill="auto"/>
            <w:noWrap/>
            <w:vAlign w:val="bottom"/>
            <w:hideMark/>
          </w:tcPr>
          <w:p w:rsidR="00F03032" w:rsidRPr="00C9731B" w:rsidRDefault="00F03032" w:rsidP="00250DFE">
            <w:pPr>
              <w:spacing w:after="0" w:line="240" w:lineRule="auto"/>
              <w:rPr>
                <w:rFonts w:ascii="Times New Roman" w:eastAsia="Times New Roman" w:hAnsi="Times New Roman" w:cs="Times New Roman"/>
                <w:lang w:eastAsia="en-CA"/>
              </w:rPr>
            </w:pPr>
            <w:r w:rsidRPr="00C9731B">
              <w:rPr>
                <w:rFonts w:ascii="Times New Roman" w:eastAsia="Times New Roman" w:hAnsi="Times New Roman" w:cs="Times New Roman"/>
                <w:lang w:eastAsia="en-CA"/>
              </w:rPr>
              <w:t> ((communit$ adj2 intervention$) or (communit$ adj2 randomi$)).tw.</w:t>
            </w:r>
          </w:p>
        </w:tc>
        <w:tc>
          <w:tcPr>
            <w:tcW w:w="11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03032" w:rsidRPr="00C9731B" w:rsidRDefault="00F03032" w:rsidP="00250DFE">
            <w:pPr>
              <w:spacing w:after="0" w:line="240" w:lineRule="auto"/>
              <w:jc w:val="right"/>
              <w:rPr>
                <w:rFonts w:ascii="Times New Roman" w:eastAsia="Times New Roman" w:hAnsi="Times New Roman" w:cs="Times New Roman"/>
                <w:lang w:eastAsia="en-CA"/>
              </w:rPr>
            </w:pPr>
            <w:r w:rsidRPr="00C9731B">
              <w:rPr>
                <w:rFonts w:ascii="Times New Roman" w:eastAsia="Times New Roman" w:hAnsi="Times New Roman" w:cs="Times New Roman"/>
                <w:lang w:eastAsia="en-CA"/>
              </w:rPr>
              <w:t>20137</w:t>
            </w:r>
          </w:p>
        </w:tc>
      </w:tr>
      <w:tr w:rsidR="00F03032" w:rsidRPr="00C9731B" w:rsidTr="00250DFE">
        <w:trPr>
          <w:trHeight w:val="300"/>
        </w:trPr>
        <w:tc>
          <w:tcPr>
            <w:tcW w:w="12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03032" w:rsidRPr="00C9731B" w:rsidRDefault="00F03032" w:rsidP="00250DFE">
            <w:pPr>
              <w:spacing w:after="0" w:line="240" w:lineRule="auto"/>
              <w:jc w:val="right"/>
              <w:rPr>
                <w:rFonts w:ascii="Times New Roman" w:eastAsia="Times New Roman" w:hAnsi="Times New Roman" w:cs="Times New Roman"/>
                <w:lang w:eastAsia="en-CA"/>
              </w:rPr>
            </w:pPr>
            <w:r w:rsidRPr="00C9731B">
              <w:rPr>
                <w:rFonts w:ascii="Times New Roman" w:eastAsia="Times New Roman" w:hAnsi="Times New Roman" w:cs="Times New Roman"/>
                <w:lang w:eastAsia="en-CA"/>
              </w:rPr>
              <w:t>8</w:t>
            </w:r>
          </w:p>
        </w:tc>
        <w:tc>
          <w:tcPr>
            <w:tcW w:w="6126" w:type="dxa"/>
            <w:tcBorders>
              <w:top w:val="nil"/>
              <w:left w:val="nil"/>
              <w:bottom w:val="single" w:sz="4" w:space="0" w:color="auto"/>
              <w:right w:val="single" w:sz="4" w:space="0" w:color="auto"/>
            </w:tcBorders>
            <w:shd w:val="clear" w:color="auto" w:fill="auto"/>
            <w:noWrap/>
            <w:vAlign w:val="bottom"/>
            <w:hideMark/>
          </w:tcPr>
          <w:p w:rsidR="00F03032" w:rsidRPr="00C9731B" w:rsidRDefault="00F03032" w:rsidP="00250DFE">
            <w:pPr>
              <w:spacing w:after="0" w:line="240" w:lineRule="auto"/>
              <w:rPr>
                <w:rFonts w:ascii="Times New Roman" w:eastAsia="Times New Roman" w:hAnsi="Times New Roman" w:cs="Times New Roman"/>
                <w:lang w:eastAsia="en-CA"/>
              </w:rPr>
            </w:pPr>
            <w:r w:rsidRPr="00C9731B">
              <w:rPr>
                <w:rFonts w:ascii="Times New Roman" w:eastAsia="Times New Roman" w:hAnsi="Times New Roman" w:cs="Times New Roman"/>
                <w:lang w:eastAsia="en-CA"/>
              </w:rPr>
              <w:t> group$ randomi$.tw.</w:t>
            </w:r>
          </w:p>
        </w:tc>
        <w:tc>
          <w:tcPr>
            <w:tcW w:w="11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03032" w:rsidRPr="00C9731B" w:rsidRDefault="00F03032" w:rsidP="00250DFE">
            <w:pPr>
              <w:spacing w:after="0" w:line="240" w:lineRule="auto"/>
              <w:jc w:val="right"/>
              <w:rPr>
                <w:rFonts w:ascii="Times New Roman" w:eastAsia="Times New Roman" w:hAnsi="Times New Roman" w:cs="Times New Roman"/>
                <w:lang w:eastAsia="en-CA"/>
              </w:rPr>
            </w:pPr>
            <w:r w:rsidRPr="00C9731B">
              <w:rPr>
                <w:rFonts w:ascii="Times New Roman" w:eastAsia="Times New Roman" w:hAnsi="Times New Roman" w:cs="Times New Roman"/>
                <w:lang w:eastAsia="en-CA"/>
              </w:rPr>
              <w:t>8732</w:t>
            </w:r>
          </w:p>
        </w:tc>
      </w:tr>
      <w:tr w:rsidR="00F03032" w:rsidRPr="00C9731B" w:rsidTr="00250DFE">
        <w:trPr>
          <w:trHeight w:val="300"/>
        </w:trPr>
        <w:tc>
          <w:tcPr>
            <w:tcW w:w="12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03032" w:rsidRPr="00C9731B" w:rsidRDefault="00F03032" w:rsidP="00250DFE">
            <w:pPr>
              <w:spacing w:after="0" w:line="240" w:lineRule="auto"/>
              <w:jc w:val="right"/>
              <w:rPr>
                <w:rFonts w:ascii="Times New Roman" w:eastAsia="Times New Roman" w:hAnsi="Times New Roman" w:cs="Times New Roman"/>
                <w:lang w:eastAsia="en-CA"/>
              </w:rPr>
            </w:pPr>
            <w:r w:rsidRPr="00C9731B">
              <w:rPr>
                <w:rFonts w:ascii="Times New Roman" w:eastAsia="Times New Roman" w:hAnsi="Times New Roman" w:cs="Times New Roman"/>
                <w:lang w:eastAsia="en-CA"/>
              </w:rPr>
              <w:t>9</w:t>
            </w:r>
          </w:p>
        </w:tc>
        <w:tc>
          <w:tcPr>
            <w:tcW w:w="6126" w:type="dxa"/>
            <w:tcBorders>
              <w:top w:val="nil"/>
              <w:left w:val="nil"/>
              <w:bottom w:val="single" w:sz="4" w:space="0" w:color="auto"/>
              <w:right w:val="single" w:sz="4" w:space="0" w:color="auto"/>
            </w:tcBorders>
            <w:shd w:val="clear" w:color="auto" w:fill="auto"/>
            <w:noWrap/>
            <w:vAlign w:val="bottom"/>
            <w:hideMark/>
          </w:tcPr>
          <w:p w:rsidR="00F03032" w:rsidRPr="00C9731B" w:rsidRDefault="00F03032" w:rsidP="00250DFE">
            <w:pPr>
              <w:spacing w:after="0" w:line="240" w:lineRule="auto"/>
              <w:rPr>
                <w:rFonts w:ascii="Times New Roman" w:eastAsia="Times New Roman" w:hAnsi="Times New Roman" w:cs="Times New Roman"/>
                <w:lang w:eastAsia="en-CA"/>
              </w:rPr>
            </w:pPr>
            <w:r w:rsidRPr="00C9731B">
              <w:rPr>
                <w:rFonts w:ascii="Times New Roman" w:eastAsia="Times New Roman" w:hAnsi="Times New Roman" w:cs="Times New Roman"/>
                <w:lang w:eastAsia="en-CA"/>
              </w:rPr>
              <w:t> 6 or 7 or 8</w:t>
            </w:r>
          </w:p>
        </w:tc>
        <w:tc>
          <w:tcPr>
            <w:tcW w:w="11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03032" w:rsidRPr="00C9731B" w:rsidRDefault="00F03032" w:rsidP="00250DFE">
            <w:pPr>
              <w:spacing w:after="0" w:line="240" w:lineRule="auto"/>
              <w:jc w:val="right"/>
              <w:rPr>
                <w:rFonts w:ascii="Times New Roman" w:eastAsia="Times New Roman" w:hAnsi="Times New Roman" w:cs="Times New Roman"/>
                <w:lang w:eastAsia="en-CA"/>
              </w:rPr>
            </w:pPr>
            <w:r w:rsidRPr="00C9731B">
              <w:rPr>
                <w:rFonts w:ascii="Times New Roman" w:eastAsia="Times New Roman" w:hAnsi="Times New Roman" w:cs="Times New Roman"/>
                <w:lang w:eastAsia="en-CA"/>
              </w:rPr>
              <w:t>57622</w:t>
            </w:r>
          </w:p>
        </w:tc>
      </w:tr>
      <w:tr w:rsidR="00F03032" w:rsidRPr="00C9731B" w:rsidTr="00250DFE">
        <w:trPr>
          <w:trHeight w:val="300"/>
        </w:trPr>
        <w:tc>
          <w:tcPr>
            <w:tcW w:w="12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03032" w:rsidRPr="00C9731B" w:rsidRDefault="00F03032" w:rsidP="00250DFE">
            <w:pPr>
              <w:spacing w:after="0" w:line="240" w:lineRule="auto"/>
              <w:jc w:val="right"/>
              <w:rPr>
                <w:rFonts w:ascii="Times New Roman" w:eastAsia="Times New Roman" w:hAnsi="Times New Roman" w:cs="Times New Roman"/>
                <w:lang w:eastAsia="en-CA"/>
              </w:rPr>
            </w:pPr>
            <w:r w:rsidRPr="00C9731B">
              <w:rPr>
                <w:rFonts w:ascii="Times New Roman" w:eastAsia="Times New Roman" w:hAnsi="Times New Roman" w:cs="Times New Roman"/>
                <w:lang w:eastAsia="en-CA"/>
              </w:rPr>
              <w:t>10</w:t>
            </w:r>
          </w:p>
        </w:tc>
        <w:tc>
          <w:tcPr>
            <w:tcW w:w="6126" w:type="dxa"/>
            <w:tcBorders>
              <w:top w:val="nil"/>
              <w:left w:val="nil"/>
              <w:bottom w:val="single" w:sz="4" w:space="0" w:color="auto"/>
              <w:right w:val="single" w:sz="4" w:space="0" w:color="auto"/>
            </w:tcBorders>
            <w:shd w:val="clear" w:color="auto" w:fill="auto"/>
            <w:noWrap/>
            <w:vAlign w:val="bottom"/>
            <w:hideMark/>
          </w:tcPr>
          <w:p w:rsidR="00F03032" w:rsidRPr="00C9731B" w:rsidRDefault="00F03032" w:rsidP="00250DFE">
            <w:pPr>
              <w:spacing w:after="0" w:line="240" w:lineRule="auto"/>
              <w:rPr>
                <w:rFonts w:ascii="Times New Roman" w:eastAsia="Times New Roman" w:hAnsi="Times New Roman" w:cs="Times New Roman"/>
                <w:lang w:eastAsia="en-CA"/>
              </w:rPr>
            </w:pPr>
            <w:r w:rsidRPr="00C9731B">
              <w:rPr>
                <w:rFonts w:ascii="Times New Roman" w:eastAsia="Times New Roman" w:hAnsi="Times New Roman" w:cs="Times New Roman"/>
                <w:lang w:eastAsia="en-CA"/>
              </w:rPr>
              <w:t> intervention?.tw.</w:t>
            </w:r>
          </w:p>
        </w:tc>
        <w:tc>
          <w:tcPr>
            <w:tcW w:w="11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03032" w:rsidRPr="00C9731B" w:rsidRDefault="00F03032" w:rsidP="00250DFE">
            <w:pPr>
              <w:spacing w:after="0" w:line="240" w:lineRule="auto"/>
              <w:jc w:val="right"/>
              <w:rPr>
                <w:rFonts w:ascii="Times New Roman" w:eastAsia="Times New Roman" w:hAnsi="Times New Roman" w:cs="Times New Roman"/>
                <w:lang w:eastAsia="en-CA"/>
              </w:rPr>
            </w:pPr>
            <w:r w:rsidRPr="00C9731B">
              <w:rPr>
                <w:rFonts w:ascii="Times New Roman" w:eastAsia="Times New Roman" w:hAnsi="Times New Roman" w:cs="Times New Roman"/>
                <w:lang w:eastAsia="en-CA"/>
              </w:rPr>
              <w:t>2425049</w:t>
            </w:r>
          </w:p>
        </w:tc>
      </w:tr>
      <w:tr w:rsidR="00F03032" w:rsidRPr="00C9731B" w:rsidTr="00250DFE">
        <w:trPr>
          <w:trHeight w:val="300"/>
        </w:trPr>
        <w:tc>
          <w:tcPr>
            <w:tcW w:w="12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03032" w:rsidRPr="00C9731B" w:rsidRDefault="00F03032" w:rsidP="00250DFE">
            <w:pPr>
              <w:spacing w:after="0" w:line="240" w:lineRule="auto"/>
              <w:jc w:val="right"/>
              <w:rPr>
                <w:rFonts w:ascii="Times New Roman" w:eastAsia="Times New Roman" w:hAnsi="Times New Roman" w:cs="Times New Roman"/>
                <w:lang w:eastAsia="en-CA"/>
              </w:rPr>
            </w:pPr>
            <w:r w:rsidRPr="00C9731B">
              <w:rPr>
                <w:rFonts w:ascii="Times New Roman" w:eastAsia="Times New Roman" w:hAnsi="Times New Roman" w:cs="Times New Roman"/>
                <w:lang w:eastAsia="en-CA"/>
              </w:rPr>
              <w:t>11</w:t>
            </w:r>
          </w:p>
        </w:tc>
        <w:tc>
          <w:tcPr>
            <w:tcW w:w="6126" w:type="dxa"/>
            <w:tcBorders>
              <w:top w:val="nil"/>
              <w:left w:val="nil"/>
              <w:bottom w:val="single" w:sz="4" w:space="0" w:color="auto"/>
              <w:right w:val="single" w:sz="4" w:space="0" w:color="auto"/>
            </w:tcBorders>
            <w:shd w:val="clear" w:color="auto" w:fill="auto"/>
            <w:noWrap/>
            <w:vAlign w:val="bottom"/>
            <w:hideMark/>
          </w:tcPr>
          <w:p w:rsidR="00F03032" w:rsidRPr="00C9731B" w:rsidRDefault="00F03032" w:rsidP="00250DFE">
            <w:pPr>
              <w:spacing w:after="0" w:line="240" w:lineRule="auto"/>
              <w:rPr>
                <w:rFonts w:ascii="Times New Roman" w:eastAsia="Times New Roman" w:hAnsi="Times New Roman" w:cs="Times New Roman"/>
                <w:lang w:eastAsia="en-CA"/>
              </w:rPr>
            </w:pPr>
            <w:r w:rsidRPr="00C9731B">
              <w:rPr>
                <w:rFonts w:ascii="Times New Roman" w:eastAsia="Times New Roman" w:hAnsi="Times New Roman" w:cs="Times New Roman"/>
                <w:lang w:eastAsia="en-CA"/>
              </w:rPr>
              <w:t> cluster analysis/</w:t>
            </w:r>
          </w:p>
        </w:tc>
        <w:tc>
          <w:tcPr>
            <w:tcW w:w="11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03032" w:rsidRPr="00C9731B" w:rsidRDefault="00F03032" w:rsidP="00250DFE">
            <w:pPr>
              <w:spacing w:after="0" w:line="240" w:lineRule="auto"/>
              <w:jc w:val="right"/>
              <w:rPr>
                <w:rFonts w:ascii="Times New Roman" w:eastAsia="Times New Roman" w:hAnsi="Times New Roman" w:cs="Times New Roman"/>
                <w:lang w:eastAsia="en-CA"/>
              </w:rPr>
            </w:pPr>
            <w:r w:rsidRPr="00C9731B">
              <w:rPr>
                <w:rFonts w:ascii="Times New Roman" w:eastAsia="Times New Roman" w:hAnsi="Times New Roman" w:cs="Times New Roman"/>
                <w:lang w:eastAsia="en-CA"/>
              </w:rPr>
              <w:t>122853</w:t>
            </w:r>
          </w:p>
        </w:tc>
      </w:tr>
      <w:tr w:rsidR="00F03032" w:rsidRPr="00C9731B" w:rsidTr="00250DFE">
        <w:trPr>
          <w:trHeight w:val="300"/>
        </w:trPr>
        <w:tc>
          <w:tcPr>
            <w:tcW w:w="12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03032" w:rsidRPr="00C9731B" w:rsidRDefault="00F03032" w:rsidP="00250DFE">
            <w:pPr>
              <w:spacing w:after="0" w:line="240" w:lineRule="auto"/>
              <w:jc w:val="right"/>
              <w:rPr>
                <w:rFonts w:ascii="Times New Roman" w:eastAsia="Times New Roman" w:hAnsi="Times New Roman" w:cs="Times New Roman"/>
                <w:lang w:eastAsia="en-CA"/>
              </w:rPr>
            </w:pPr>
            <w:r w:rsidRPr="00C9731B">
              <w:rPr>
                <w:rFonts w:ascii="Times New Roman" w:eastAsia="Times New Roman" w:hAnsi="Times New Roman" w:cs="Times New Roman"/>
                <w:lang w:eastAsia="en-CA"/>
              </w:rPr>
              <w:t>12</w:t>
            </w:r>
          </w:p>
        </w:tc>
        <w:tc>
          <w:tcPr>
            <w:tcW w:w="6126" w:type="dxa"/>
            <w:tcBorders>
              <w:top w:val="nil"/>
              <w:left w:val="nil"/>
              <w:bottom w:val="single" w:sz="4" w:space="0" w:color="auto"/>
              <w:right w:val="single" w:sz="4" w:space="0" w:color="auto"/>
            </w:tcBorders>
            <w:shd w:val="clear" w:color="auto" w:fill="auto"/>
            <w:noWrap/>
            <w:vAlign w:val="bottom"/>
            <w:hideMark/>
          </w:tcPr>
          <w:p w:rsidR="00F03032" w:rsidRPr="00C9731B" w:rsidRDefault="00F03032" w:rsidP="00250DFE">
            <w:pPr>
              <w:spacing w:after="0" w:line="240" w:lineRule="auto"/>
              <w:rPr>
                <w:rFonts w:ascii="Times New Roman" w:eastAsia="Times New Roman" w:hAnsi="Times New Roman" w:cs="Times New Roman"/>
                <w:lang w:eastAsia="en-CA"/>
              </w:rPr>
            </w:pPr>
            <w:r w:rsidRPr="00C9731B">
              <w:rPr>
                <w:rFonts w:ascii="Times New Roman" w:eastAsia="Times New Roman" w:hAnsi="Times New Roman" w:cs="Times New Roman"/>
                <w:lang w:eastAsia="en-CA"/>
              </w:rPr>
              <w:t> health promotion/</w:t>
            </w:r>
          </w:p>
        </w:tc>
        <w:tc>
          <w:tcPr>
            <w:tcW w:w="11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03032" w:rsidRPr="00C9731B" w:rsidRDefault="00F03032" w:rsidP="00250DFE">
            <w:pPr>
              <w:spacing w:after="0" w:line="240" w:lineRule="auto"/>
              <w:jc w:val="right"/>
              <w:rPr>
                <w:rFonts w:ascii="Times New Roman" w:eastAsia="Times New Roman" w:hAnsi="Times New Roman" w:cs="Times New Roman"/>
                <w:lang w:eastAsia="en-CA"/>
              </w:rPr>
            </w:pPr>
            <w:r w:rsidRPr="00C9731B">
              <w:rPr>
                <w:rFonts w:ascii="Times New Roman" w:eastAsia="Times New Roman" w:hAnsi="Times New Roman" w:cs="Times New Roman"/>
                <w:lang w:eastAsia="en-CA"/>
              </w:rPr>
              <w:t>176542</w:t>
            </w:r>
          </w:p>
        </w:tc>
      </w:tr>
      <w:tr w:rsidR="00F03032" w:rsidRPr="00C9731B" w:rsidTr="00250DFE">
        <w:trPr>
          <w:trHeight w:val="300"/>
        </w:trPr>
        <w:tc>
          <w:tcPr>
            <w:tcW w:w="12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03032" w:rsidRPr="00C9731B" w:rsidRDefault="00F03032" w:rsidP="00250DFE">
            <w:pPr>
              <w:spacing w:after="0" w:line="240" w:lineRule="auto"/>
              <w:jc w:val="right"/>
              <w:rPr>
                <w:rFonts w:ascii="Times New Roman" w:eastAsia="Times New Roman" w:hAnsi="Times New Roman" w:cs="Times New Roman"/>
                <w:lang w:eastAsia="en-CA"/>
              </w:rPr>
            </w:pPr>
            <w:r w:rsidRPr="00C9731B">
              <w:rPr>
                <w:rFonts w:ascii="Times New Roman" w:eastAsia="Times New Roman" w:hAnsi="Times New Roman" w:cs="Times New Roman"/>
                <w:lang w:eastAsia="en-CA"/>
              </w:rPr>
              <w:t>13</w:t>
            </w:r>
          </w:p>
        </w:tc>
        <w:tc>
          <w:tcPr>
            <w:tcW w:w="6126" w:type="dxa"/>
            <w:tcBorders>
              <w:top w:val="nil"/>
              <w:left w:val="nil"/>
              <w:bottom w:val="single" w:sz="4" w:space="0" w:color="auto"/>
              <w:right w:val="single" w:sz="4" w:space="0" w:color="auto"/>
            </w:tcBorders>
            <w:shd w:val="clear" w:color="auto" w:fill="auto"/>
            <w:noWrap/>
            <w:vAlign w:val="bottom"/>
            <w:hideMark/>
          </w:tcPr>
          <w:p w:rsidR="00F03032" w:rsidRPr="00C9731B" w:rsidRDefault="00F03032" w:rsidP="00250DFE">
            <w:pPr>
              <w:spacing w:after="0" w:line="240" w:lineRule="auto"/>
              <w:rPr>
                <w:rFonts w:ascii="Times New Roman" w:eastAsia="Times New Roman" w:hAnsi="Times New Roman" w:cs="Times New Roman"/>
                <w:lang w:eastAsia="en-CA"/>
              </w:rPr>
            </w:pPr>
            <w:r w:rsidRPr="00C9731B">
              <w:rPr>
                <w:rFonts w:ascii="Times New Roman" w:eastAsia="Times New Roman" w:hAnsi="Times New Roman" w:cs="Times New Roman"/>
                <w:lang w:eastAsia="en-CA"/>
              </w:rPr>
              <w:t> program evaluation/</w:t>
            </w:r>
          </w:p>
        </w:tc>
        <w:tc>
          <w:tcPr>
            <w:tcW w:w="11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03032" w:rsidRPr="00C9731B" w:rsidRDefault="00F03032" w:rsidP="00250DFE">
            <w:pPr>
              <w:spacing w:after="0" w:line="240" w:lineRule="auto"/>
              <w:jc w:val="right"/>
              <w:rPr>
                <w:rFonts w:ascii="Times New Roman" w:eastAsia="Times New Roman" w:hAnsi="Times New Roman" w:cs="Times New Roman"/>
                <w:lang w:eastAsia="en-CA"/>
              </w:rPr>
            </w:pPr>
            <w:r w:rsidRPr="00C9731B">
              <w:rPr>
                <w:rFonts w:ascii="Times New Roman" w:eastAsia="Times New Roman" w:hAnsi="Times New Roman" w:cs="Times New Roman"/>
                <w:lang w:eastAsia="en-CA"/>
              </w:rPr>
              <w:t>80902</w:t>
            </w:r>
          </w:p>
        </w:tc>
      </w:tr>
      <w:tr w:rsidR="00F03032" w:rsidRPr="00C9731B" w:rsidTr="00250DFE">
        <w:trPr>
          <w:trHeight w:val="300"/>
        </w:trPr>
        <w:tc>
          <w:tcPr>
            <w:tcW w:w="12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03032" w:rsidRPr="00C9731B" w:rsidRDefault="00F03032" w:rsidP="00250DFE">
            <w:pPr>
              <w:spacing w:after="0" w:line="240" w:lineRule="auto"/>
              <w:jc w:val="right"/>
              <w:rPr>
                <w:rFonts w:ascii="Times New Roman" w:eastAsia="Times New Roman" w:hAnsi="Times New Roman" w:cs="Times New Roman"/>
                <w:lang w:eastAsia="en-CA"/>
              </w:rPr>
            </w:pPr>
            <w:r w:rsidRPr="00C9731B">
              <w:rPr>
                <w:rFonts w:ascii="Times New Roman" w:eastAsia="Times New Roman" w:hAnsi="Times New Roman" w:cs="Times New Roman"/>
                <w:lang w:eastAsia="en-CA"/>
              </w:rPr>
              <w:t>14</w:t>
            </w:r>
          </w:p>
        </w:tc>
        <w:tc>
          <w:tcPr>
            <w:tcW w:w="6126" w:type="dxa"/>
            <w:tcBorders>
              <w:top w:val="nil"/>
              <w:left w:val="nil"/>
              <w:bottom w:val="single" w:sz="4" w:space="0" w:color="auto"/>
              <w:right w:val="single" w:sz="4" w:space="0" w:color="auto"/>
            </w:tcBorders>
            <w:shd w:val="clear" w:color="auto" w:fill="auto"/>
            <w:noWrap/>
            <w:vAlign w:val="bottom"/>
            <w:hideMark/>
          </w:tcPr>
          <w:p w:rsidR="00F03032" w:rsidRPr="00C9731B" w:rsidRDefault="00F03032" w:rsidP="00250DFE">
            <w:pPr>
              <w:spacing w:after="0" w:line="240" w:lineRule="auto"/>
              <w:rPr>
                <w:rFonts w:ascii="Times New Roman" w:eastAsia="Times New Roman" w:hAnsi="Times New Roman" w:cs="Times New Roman"/>
                <w:lang w:eastAsia="en-CA"/>
              </w:rPr>
            </w:pPr>
            <w:r w:rsidRPr="00C9731B">
              <w:rPr>
                <w:rFonts w:ascii="Times New Roman" w:eastAsia="Times New Roman" w:hAnsi="Times New Roman" w:cs="Times New Roman"/>
                <w:lang w:eastAsia="en-CA"/>
              </w:rPr>
              <w:t> health education/</w:t>
            </w:r>
          </w:p>
        </w:tc>
        <w:tc>
          <w:tcPr>
            <w:tcW w:w="11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03032" w:rsidRPr="00C9731B" w:rsidRDefault="00F03032" w:rsidP="00250DFE">
            <w:pPr>
              <w:spacing w:after="0" w:line="240" w:lineRule="auto"/>
              <w:jc w:val="right"/>
              <w:rPr>
                <w:rFonts w:ascii="Times New Roman" w:eastAsia="Times New Roman" w:hAnsi="Times New Roman" w:cs="Times New Roman"/>
                <w:lang w:eastAsia="en-CA"/>
              </w:rPr>
            </w:pPr>
            <w:r w:rsidRPr="00C9731B">
              <w:rPr>
                <w:rFonts w:ascii="Times New Roman" w:eastAsia="Times New Roman" w:hAnsi="Times New Roman" w:cs="Times New Roman"/>
                <w:lang w:eastAsia="en-CA"/>
              </w:rPr>
              <w:t>159941</w:t>
            </w:r>
          </w:p>
        </w:tc>
      </w:tr>
      <w:tr w:rsidR="00F03032" w:rsidRPr="00C9731B" w:rsidTr="00250DFE">
        <w:trPr>
          <w:trHeight w:val="300"/>
        </w:trPr>
        <w:tc>
          <w:tcPr>
            <w:tcW w:w="12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03032" w:rsidRPr="00C9731B" w:rsidRDefault="00F03032" w:rsidP="00250DFE">
            <w:pPr>
              <w:spacing w:after="0" w:line="240" w:lineRule="auto"/>
              <w:jc w:val="right"/>
              <w:rPr>
                <w:rFonts w:ascii="Times New Roman" w:eastAsia="Times New Roman" w:hAnsi="Times New Roman" w:cs="Times New Roman"/>
                <w:lang w:eastAsia="en-CA"/>
              </w:rPr>
            </w:pPr>
            <w:r w:rsidRPr="00C9731B">
              <w:rPr>
                <w:rFonts w:ascii="Times New Roman" w:eastAsia="Times New Roman" w:hAnsi="Times New Roman" w:cs="Times New Roman"/>
                <w:lang w:eastAsia="en-CA"/>
              </w:rPr>
              <w:t>15</w:t>
            </w:r>
          </w:p>
        </w:tc>
        <w:tc>
          <w:tcPr>
            <w:tcW w:w="6126" w:type="dxa"/>
            <w:tcBorders>
              <w:top w:val="nil"/>
              <w:left w:val="nil"/>
              <w:bottom w:val="single" w:sz="4" w:space="0" w:color="auto"/>
              <w:right w:val="single" w:sz="4" w:space="0" w:color="auto"/>
            </w:tcBorders>
            <w:shd w:val="clear" w:color="auto" w:fill="auto"/>
            <w:noWrap/>
            <w:vAlign w:val="bottom"/>
            <w:hideMark/>
          </w:tcPr>
          <w:p w:rsidR="00F03032" w:rsidRPr="00C9731B" w:rsidRDefault="00F03032" w:rsidP="00250DFE">
            <w:pPr>
              <w:spacing w:after="0" w:line="240" w:lineRule="auto"/>
              <w:rPr>
                <w:rFonts w:ascii="Times New Roman" w:eastAsia="Times New Roman" w:hAnsi="Times New Roman" w:cs="Times New Roman"/>
                <w:lang w:eastAsia="en-CA"/>
              </w:rPr>
            </w:pPr>
            <w:r w:rsidRPr="00C9731B">
              <w:rPr>
                <w:rFonts w:ascii="Times New Roman" w:eastAsia="Times New Roman" w:hAnsi="Times New Roman" w:cs="Times New Roman"/>
                <w:lang w:eastAsia="en-CA"/>
              </w:rPr>
              <w:t> 10 or 11 or 12 or 13 or 14</w:t>
            </w:r>
          </w:p>
        </w:tc>
        <w:tc>
          <w:tcPr>
            <w:tcW w:w="11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03032" w:rsidRPr="00C9731B" w:rsidRDefault="00F03032" w:rsidP="00250DFE">
            <w:pPr>
              <w:spacing w:after="0" w:line="240" w:lineRule="auto"/>
              <w:jc w:val="right"/>
              <w:rPr>
                <w:rFonts w:ascii="Times New Roman" w:eastAsia="Times New Roman" w:hAnsi="Times New Roman" w:cs="Times New Roman"/>
                <w:lang w:eastAsia="en-CA"/>
              </w:rPr>
            </w:pPr>
            <w:r w:rsidRPr="00C9731B">
              <w:rPr>
                <w:rFonts w:ascii="Times New Roman" w:eastAsia="Times New Roman" w:hAnsi="Times New Roman" w:cs="Times New Roman"/>
                <w:lang w:eastAsia="en-CA"/>
              </w:rPr>
              <w:t>2837625</w:t>
            </w:r>
          </w:p>
        </w:tc>
      </w:tr>
      <w:tr w:rsidR="00F03032" w:rsidRPr="00C9731B" w:rsidTr="00250DFE">
        <w:trPr>
          <w:trHeight w:val="300"/>
        </w:trPr>
        <w:tc>
          <w:tcPr>
            <w:tcW w:w="12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03032" w:rsidRPr="00C9731B" w:rsidRDefault="00F03032" w:rsidP="00250DFE">
            <w:pPr>
              <w:spacing w:after="0" w:line="240" w:lineRule="auto"/>
              <w:jc w:val="right"/>
              <w:rPr>
                <w:rFonts w:ascii="Times New Roman" w:eastAsia="Times New Roman" w:hAnsi="Times New Roman" w:cs="Times New Roman"/>
                <w:lang w:eastAsia="en-CA"/>
              </w:rPr>
            </w:pPr>
            <w:r w:rsidRPr="00C9731B">
              <w:rPr>
                <w:rFonts w:ascii="Times New Roman" w:eastAsia="Times New Roman" w:hAnsi="Times New Roman" w:cs="Times New Roman"/>
                <w:lang w:eastAsia="en-CA"/>
              </w:rPr>
              <w:t>16</w:t>
            </w:r>
          </w:p>
        </w:tc>
        <w:tc>
          <w:tcPr>
            <w:tcW w:w="612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03032" w:rsidRPr="00C9731B" w:rsidRDefault="00F03032" w:rsidP="00250DFE">
            <w:pPr>
              <w:spacing w:after="0" w:line="240" w:lineRule="auto"/>
              <w:rPr>
                <w:rFonts w:ascii="Times New Roman" w:eastAsia="Times New Roman" w:hAnsi="Times New Roman" w:cs="Times New Roman"/>
                <w:lang w:eastAsia="en-CA"/>
              </w:rPr>
            </w:pPr>
            <w:r w:rsidRPr="00C9731B">
              <w:rPr>
                <w:rFonts w:ascii="Times New Roman" w:eastAsia="Times New Roman" w:hAnsi="Times New Roman" w:cs="Times New Roman"/>
                <w:lang w:eastAsia="en-CA"/>
              </w:rPr>
              <w:t> 9 or 15</w:t>
            </w:r>
          </w:p>
        </w:tc>
        <w:tc>
          <w:tcPr>
            <w:tcW w:w="11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03032" w:rsidRPr="00C9731B" w:rsidRDefault="00F03032" w:rsidP="00250DFE">
            <w:pPr>
              <w:spacing w:after="0" w:line="240" w:lineRule="auto"/>
              <w:jc w:val="right"/>
              <w:rPr>
                <w:rFonts w:ascii="Times New Roman" w:eastAsia="Times New Roman" w:hAnsi="Times New Roman" w:cs="Times New Roman"/>
                <w:lang w:eastAsia="en-CA"/>
              </w:rPr>
            </w:pPr>
            <w:r w:rsidRPr="00C9731B">
              <w:rPr>
                <w:rFonts w:ascii="Times New Roman" w:eastAsia="Times New Roman" w:hAnsi="Times New Roman" w:cs="Times New Roman"/>
                <w:lang w:eastAsia="en-CA"/>
              </w:rPr>
              <w:t>2848506</w:t>
            </w:r>
          </w:p>
        </w:tc>
      </w:tr>
      <w:tr w:rsidR="00F03032" w:rsidRPr="00C9731B" w:rsidTr="00250DFE">
        <w:trPr>
          <w:trHeight w:val="300"/>
        </w:trPr>
        <w:tc>
          <w:tcPr>
            <w:tcW w:w="12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03032" w:rsidRPr="00C9731B" w:rsidRDefault="00F03032" w:rsidP="00250DFE">
            <w:pPr>
              <w:spacing w:after="0" w:line="240" w:lineRule="auto"/>
              <w:jc w:val="right"/>
              <w:rPr>
                <w:rFonts w:ascii="Times New Roman" w:eastAsia="Times New Roman" w:hAnsi="Times New Roman" w:cs="Times New Roman"/>
                <w:lang w:eastAsia="en-CA"/>
              </w:rPr>
            </w:pPr>
            <w:r w:rsidRPr="00C9731B">
              <w:rPr>
                <w:rFonts w:ascii="Times New Roman" w:eastAsia="Times New Roman" w:hAnsi="Times New Roman" w:cs="Times New Roman"/>
                <w:lang w:eastAsia="en-CA"/>
              </w:rPr>
              <w:t>17</w:t>
            </w:r>
          </w:p>
        </w:tc>
        <w:tc>
          <w:tcPr>
            <w:tcW w:w="612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03032" w:rsidRPr="00C9731B" w:rsidRDefault="00F03032" w:rsidP="00250DFE">
            <w:pPr>
              <w:spacing w:after="0" w:line="240" w:lineRule="auto"/>
              <w:rPr>
                <w:rFonts w:ascii="Times New Roman" w:eastAsia="Times New Roman" w:hAnsi="Times New Roman" w:cs="Times New Roman"/>
                <w:lang w:eastAsia="en-CA"/>
              </w:rPr>
            </w:pPr>
            <w:r w:rsidRPr="00C9731B">
              <w:rPr>
                <w:rFonts w:ascii="Times New Roman" w:eastAsia="Times New Roman" w:hAnsi="Times New Roman" w:cs="Times New Roman"/>
                <w:lang w:eastAsia="en-CA"/>
              </w:rPr>
              <w:t> 16 and 5</w:t>
            </w:r>
          </w:p>
        </w:tc>
        <w:tc>
          <w:tcPr>
            <w:tcW w:w="11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03032" w:rsidRPr="00C9731B" w:rsidRDefault="00F03032" w:rsidP="00250DFE">
            <w:pPr>
              <w:spacing w:after="0" w:line="240" w:lineRule="auto"/>
              <w:jc w:val="right"/>
              <w:rPr>
                <w:rFonts w:ascii="Times New Roman" w:eastAsia="Times New Roman" w:hAnsi="Times New Roman" w:cs="Times New Roman"/>
                <w:lang w:eastAsia="en-CA"/>
              </w:rPr>
            </w:pPr>
            <w:r w:rsidRPr="00C9731B">
              <w:rPr>
                <w:rFonts w:ascii="Times New Roman" w:eastAsia="Times New Roman" w:hAnsi="Times New Roman" w:cs="Times New Roman"/>
                <w:lang w:eastAsia="en-CA"/>
              </w:rPr>
              <w:t>107591</w:t>
            </w:r>
          </w:p>
        </w:tc>
      </w:tr>
      <w:tr w:rsidR="00F03032" w:rsidRPr="00C9731B" w:rsidTr="00250DFE">
        <w:trPr>
          <w:trHeight w:val="300"/>
        </w:trPr>
        <w:tc>
          <w:tcPr>
            <w:tcW w:w="12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03032" w:rsidRPr="00C9731B" w:rsidRDefault="00F03032" w:rsidP="00250DFE">
            <w:pPr>
              <w:spacing w:after="0" w:line="240" w:lineRule="auto"/>
              <w:jc w:val="right"/>
              <w:rPr>
                <w:rFonts w:ascii="Times New Roman" w:eastAsia="Times New Roman" w:hAnsi="Times New Roman" w:cs="Times New Roman"/>
                <w:lang w:eastAsia="en-CA"/>
              </w:rPr>
            </w:pPr>
            <w:r w:rsidRPr="00C9731B">
              <w:rPr>
                <w:rFonts w:ascii="Times New Roman" w:eastAsia="Times New Roman" w:hAnsi="Times New Roman" w:cs="Times New Roman"/>
                <w:lang w:eastAsia="en-CA"/>
              </w:rPr>
              <w:t>18</w:t>
            </w:r>
          </w:p>
        </w:tc>
        <w:tc>
          <w:tcPr>
            <w:tcW w:w="612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03032" w:rsidRPr="00C9731B" w:rsidRDefault="00F03032" w:rsidP="00250DFE">
            <w:pPr>
              <w:spacing w:after="0" w:line="240" w:lineRule="auto"/>
              <w:rPr>
                <w:rFonts w:ascii="Times New Roman" w:eastAsia="Times New Roman" w:hAnsi="Times New Roman" w:cs="Times New Roman"/>
                <w:lang w:eastAsia="en-CA"/>
              </w:rPr>
            </w:pPr>
            <w:r w:rsidRPr="00C9731B">
              <w:rPr>
                <w:rFonts w:ascii="Times New Roman" w:eastAsia="Times New Roman" w:hAnsi="Times New Roman" w:cs="Times New Roman"/>
                <w:lang w:eastAsia="en-CA"/>
              </w:rPr>
              <w:t> limit 17 to yr="2000 - 2019"</w:t>
            </w:r>
          </w:p>
        </w:tc>
        <w:tc>
          <w:tcPr>
            <w:tcW w:w="11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03032" w:rsidRPr="00C9731B" w:rsidRDefault="00F03032" w:rsidP="00250DFE">
            <w:pPr>
              <w:spacing w:after="0" w:line="240" w:lineRule="auto"/>
              <w:jc w:val="right"/>
              <w:rPr>
                <w:rFonts w:ascii="Times New Roman" w:eastAsia="Times New Roman" w:hAnsi="Times New Roman" w:cs="Times New Roman"/>
                <w:lang w:eastAsia="en-CA"/>
              </w:rPr>
            </w:pPr>
            <w:r w:rsidRPr="00C9731B">
              <w:rPr>
                <w:rFonts w:ascii="Times New Roman" w:eastAsia="Times New Roman" w:hAnsi="Times New Roman" w:cs="Times New Roman"/>
                <w:lang w:eastAsia="en-CA"/>
              </w:rPr>
              <w:t>87633</w:t>
            </w:r>
          </w:p>
        </w:tc>
      </w:tr>
    </w:tbl>
    <w:p w:rsidR="00F03032" w:rsidRPr="00C9731B" w:rsidRDefault="00F03032" w:rsidP="00F03032">
      <w:pPr>
        <w:spacing w:line="480" w:lineRule="auto"/>
        <w:rPr>
          <w:rFonts w:ascii="Times New Roman" w:hAnsi="Times New Roman" w:cs="Times New Roman"/>
          <w:b/>
          <w:bCs/>
          <w:sz w:val="24"/>
          <w:szCs w:val="24"/>
        </w:rPr>
      </w:pPr>
    </w:p>
    <w:p w:rsidR="00F03032" w:rsidRPr="00C9731B" w:rsidRDefault="00F03032" w:rsidP="00F03032">
      <w:pPr>
        <w:spacing w:line="480" w:lineRule="auto"/>
        <w:rPr>
          <w:rFonts w:ascii="Times New Roman" w:hAnsi="Times New Roman" w:cs="Times New Roman"/>
          <w:b/>
          <w:bCs/>
          <w:sz w:val="24"/>
          <w:szCs w:val="24"/>
        </w:rPr>
      </w:pPr>
    </w:p>
    <w:p w:rsidR="00F03032" w:rsidRPr="00C9731B" w:rsidRDefault="00F03032" w:rsidP="00F03032">
      <w:pPr>
        <w:spacing w:line="480" w:lineRule="auto"/>
        <w:rPr>
          <w:rFonts w:ascii="Times New Roman" w:hAnsi="Times New Roman" w:cs="Times New Roman"/>
          <w:sz w:val="24"/>
          <w:szCs w:val="24"/>
        </w:rPr>
      </w:pPr>
      <w:bookmarkStart w:id="1" w:name="Appendix2"/>
      <w:r w:rsidRPr="00C9731B">
        <w:rPr>
          <w:rFonts w:ascii="Times New Roman" w:hAnsi="Times New Roman" w:cs="Times New Roman"/>
          <w:b/>
          <w:bCs/>
          <w:sz w:val="24"/>
          <w:szCs w:val="24"/>
        </w:rPr>
        <w:t>Appendix 2</w:t>
      </w:r>
      <w:bookmarkEnd w:id="1"/>
      <w:r w:rsidRPr="00C9731B">
        <w:rPr>
          <w:rFonts w:ascii="Times New Roman" w:hAnsi="Times New Roman" w:cs="Times New Roman"/>
          <w:sz w:val="24"/>
          <w:szCs w:val="24"/>
        </w:rPr>
        <w:t>: Additional details for the external dataset</w:t>
      </w:r>
    </w:p>
    <w:p w:rsidR="00F03032" w:rsidRPr="00C9731B" w:rsidRDefault="00F03032" w:rsidP="00F03032">
      <w:pPr>
        <w:spacing w:line="480" w:lineRule="auto"/>
        <w:rPr>
          <w:rStyle w:val="Heading2Char"/>
          <w:rFonts w:ascii="Times New Roman" w:hAnsi="Times New Roman" w:cs="Times New Roman"/>
          <w:color w:val="auto"/>
          <w:sz w:val="24"/>
          <w:szCs w:val="24"/>
        </w:rPr>
      </w:pPr>
      <w:r w:rsidRPr="00C9731B">
        <w:rPr>
          <w:rFonts w:ascii="Times New Roman" w:hAnsi="Times New Roman" w:cs="Times New Roman"/>
          <w:sz w:val="24"/>
          <w:szCs w:val="24"/>
        </w:rPr>
        <w:t xml:space="preserve">We evaluated our algorithms' performance against an external dataset that included 1988 articles. These articles were confirmed primary reports of RCTs, of which 688 were CRT reports and the rest were individually randomized trials. This dataset has been described elsewhere </w:t>
      </w:r>
      <w:r w:rsidRPr="00C9731B">
        <w:rPr>
          <w:rFonts w:ascii="Times New Roman" w:hAnsi="Times New Roman" w:cs="Times New Roman"/>
          <w:sz w:val="24"/>
          <w:szCs w:val="24"/>
        </w:rPr>
        <w:fldChar w:fldCharType="begin" w:fldLock="1"/>
      </w:r>
      <w:r w:rsidRPr="00C9731B">
        <w:rPr>
          <w:rFonts w:ascii="Times New Roman" w:hAnsi="Times New Roman" w:cs="Times New Roman"/>
          <w:sz w:val="24"/>
          <w:szCs w:val="24"/>
        </w:rPr>
        <w:instrText>ADDIN CSL_CITATION {"citationItems":[{"id":"ITEM-1","itemData":{"DOI":"10.1016/j.jclinepi.2021.03.021","ISSN":"08954356","author":[{"dropping-particle":"","family":"Nicholls","given":"Stuart G.","non-dropping-particle":"","parse-names":false,"suffix":""},{"dropping-particle":"","family":"Carroll","given":"Kelly","non-dropping-particle":"","parse-names":false,"suffix":""},{"dropping-particle":"","family":"Hey","given":"Spencer Phillips","non-dropping-particle":"","parse-names":false,"suffix":""},{"dropping-particle":"","family":"Zwarenstein","given":"Merrick","non-dropping-particle":"","parse-names":false,"suffix":""},{"dropping-particle":"","family":"Zhang","given":"Jennifer","non-dropping-particle":"","parse-names":false,"suffix":""},{"dropping-particle":"","family":"Nix","given":"Hayden","non-dropping-particle":"","parse-names":false,"suffix":""},{"dropping-particle":"","family":"Brehaut","given":"Jamie C.","non-dropping-particle":"","parse-names":false,"suffix":""},{"dropping-particle":"","family":"McKenzie","given":"Joanne E.","non-dropping-particle":"","parse-names":false,"suffix":""},{"dropping-particle":"","family":"McDonald","given":"Steve","non-dropping-particle":"","parse-names":false,"suffix":""},{"dropping-particle":"","family":"Weijer","given":"Charles","non-dropping-particle":"","parse-names":false,"suffix":""},{"dropping-particle":"","family":"Fergusson","given":"Dean","non-dropping-particle":"","parse-names":false,"suffix":""},{"dropping-particle":"","family":"Taljaard","given":"Monica","non-dropping-particle":"","parse-names":false,"suffix":""}],"container-title":"Journal of Clinical Epidemiology","id":"ITEM-1","issued":{"date-parts":[["2021","3"]]},"publisher":"J Clin Epidemiol","title":"A review of pragmatic trials found a high degree of diversity in design and scope, deficiencies in reporting and trial registry data, and poor indexing","type":"article-journal"},"uris":["http://www.mendeley.com/documents/?uuid=fe42e4f3-35dc-3ec4-a11c-e241fa149f1e"]}],"mendeley":{"formattedCitation":"(16)","plainTextFormattedCitation":"(16)","previouslyFormattedCitation":"(16)"},"properties":{"noteIndex":0},"schema":"https://github.com/citation-style-language/schema/raw/master/csl-citation.json"}</w:instrText>
      </w:r>
      <w:r w:rsidRPr="00C9731B">
        <w:rPr>
          <w:rFonts w:ascii="Times New Roman" w:hAnsi="Times New Roman" w:cs="Times New Roman"/>
          <w:sz w:val="24"/>
          <w:szCs w:val="24"/>
        </w:rPr>
        <w:fldChar w:fldCharType="separate"/>
      </w:r>
      <w:r w:rsidRPr="00C9731B">
        <w:rPr>
          <w:rFonts w:ascii="Times New Roman" w:hAnsi="Times New Roman" w:cs="Times New Roman"/>
          <w:noProof/>
          <w:sz w:val="24"/>
          <w:szCs w:val="24"/>
        </w:rPr>
        <w:t>(16)</w:t>
      </w:r>
      <w:r w:rsidRPr="00C9731B">
        <w:rPr>
          <w:rFonts w:ascii="Times New Roman" w:hAnsi="Times New Roman" w:cs="Times New Roman"/>
          <w:sz w:val="24"/>
          <w:szCs w:val="24"/>
        </w:rPr>
        <w:fldChar w:fldCharType="end"/>
      </w:r>
      <w:r w:rsidRPr="00C9731B">
        <w:rPr>
          <w:rFonts w:ascii="Times New Roman" w:hAnsi="Times New Roman" w:cs="Times New Roman"/>
          <w:sz w:val="24"/>
          <w:szCs w:val="24"/>
        </w:rPr>
        <w:t xml:space="preserve">. Briefly, the authors identified pragmatic clinical trials using a sensitivity-maximizing pragmatic search filter; this search filter is independent of this study's CRT search filter </w:t>
      </w:r>
      <w:r w:rsidRPr="00C9731B">
        <w:rPr>
          <w:rFonts w:ascii="Times New Roman" w:hAnsi="Times New Roman" w:cs="Times New Roman"/>
          <w:sz w:val="24"/>
          <w:szCs w:val="24"/>
        </w:rPr>
        <w:fldChar w:fldCharType="begin" w:fldLock="1"/>
      </w:r>
      <w:r w:rsidRPr="00C9731B">
        <w:rPr>
          <w:rFonts w:ascii="Times New Roman" w:hAnsi="Times New Roman" w:cs="Times New Roman"/>
          <w:sz w:val="24"/>
          <w:szCs w:val="24"/>
        </w:rPr>
        <w:instrText>ADDIN CSL_CITATION {"citationItems":[{"id":"ITEM-1","itemData":{"DOI":"10.1016/j.jclinepi.2020.05.003","ISSN":"18785921","PMID":"32407765","abstract":"Objectives: Identifying pragmatic trials from among all randomized trials is challenging because of inconsistent reporting. Our objective was to develop and validate a search filter to identify reports of pragmatic trials from Ovid MEDLINE. Study Design and Setting: Two sets of known and probable pragmatic trial records were analyzed using text mining to generate candidate terms. Two large population sets comprising clinical trials and explanatory trials were used to select discriminating terms. Various combinations of terms were tested iteratively to achieve optimal search performance. Two externally derived sets were used to validate sensitivity and specificity of the derived filters. Results: Our validated sensitivity-maximizing filter (combines trial design terms with terms relating to attributes of pragmatic trials) retrieves over 42,000 records in MEDLINE and has sensitivity of 46.4% (95% confidence interval (CI) 37.2 to 55.7%) and estimated specificity of 98.1% (95% CI 93.4 to 99.8%). Search performance is superior to other ad hoc filters for pragmatic trials. The Cochrane search for randomized trials has much better sensitivity (98.2%), but poorer specificity (1.9%) and retrieves 4.5 million records. Conclusion: A highly specific filter (low false positive rate) with moderate sensitivity is available for identifying reports of trials more likely to be pragmatic.","author":[{"dropping-particle":"","family":"Taljaard","given":"Monica","non-dropping-particle":"","parse-names":false,"suffix":""},{"dropping-particle":"","family":"McDonald","given":"Steve","non-dropping-particle":"","parse-names":false,"suffix":""},{"dropping-particle":"","family":"Nicholls","given":"Stuart G.","non-dropping-particle":"","parse-names":false,"suffix":""},{"dropping-particle":"","family":"Carroll","given":"Kelly","non-dropping-particle":"","parse-names":false,"suffix":""},{"dropping-particle":"","family":"Hey","given":"Spencer P.","non-dropping-particle":"","parse-names":false,"suffix":""},{"dropping-particle":"","family":"Grimshaw","given":"Jeremy M.","non-dropping-particle":"","parse-names":false,"suffix":""},{"dropping-particle":"","family":"Fergusson","given":"Dean A.","non-dropping-particle":"","parse-names":false,"suffix":""},{"dropping-particle":"","family":"Zwarenstein","given":"Merrick","non-dropping-particle":"","parse-names":false,"suffix":""},{"dropping-particle":"","family":"McKenzie","given":"Joanne E.","non-dropping-particle":"","parse-names":false,"suffix":""}],"container-title":"Journal of Clinical Epidemiology","id":"ITEM-1","issued":{"date-parts":[["2020","8","1"]]},"page":"75-84","publisher":"Elsevier USA","title":"A search filter to identify pragmatic trials in MEDLINE was highly specific but lacked sensitivity","type":"article-journal","volume":"124"},"uris":["http://www.mendeley.com/documents/?uuid=17b5bdc8-1c68-3d5d-a014-f5be03bff922"]}],"mendeley":{"formattedCitation":"(17)","plainTextFormattedCitation":"(17)","previouslyFormattedCitation":"(17)"},"properties":{"noteIndex":0},"schema":"https://github.com/citation-style-language/schema/raw/master/csl-citation.json"}</w:instrText>
      </w:r>
      <w:r w:rsidRPr="00C9731B">
        <w:rPr>
          <w:rFonts w:ascii="Times New Roman" w:hAnsi="Times New Roman" w:cs="Times New Roman"/>
          <w:sz w:val="24"/>
          <w:szCs w:val="24"/>
        </w:rPr>
        <w:fldChar w:fldCharType="separate"/>
      </w:r>
      <w:r w:rsidRPr="00C9731B">
        <w:rPr>
          <w:rFonts w:ascii="Times New Roman" w:hAnsi="Times New Roman" w:cs="Times New Roman"/>
          <w:noProof/>
          <w:sz w:val="24"/>
          <w:szCs w:val="24"/>
        </w:rPr>
        <w:t>(17)</w:t>
      </w:r>
      <w:r w:rsidRPr="00C9731B">
        <w:rPr>
          <w:rFonts w:ascii="Times New Roman" w:hAnsi="Times New Roman" w:cs="Times New Roman"/>
          <w:sz w:val="24"/>
          <w:szCs w:val="24"/>
        </w:rPr>
        <w:fldChar w:fldCharType="end"/>
      </w:r>
      <w:r w:rsidRPr="00C9731B">
        <w:rPr>
          <w:rFonts w:ascii="Times New Roman" w:hAnsi="Times New Roman" w:cs="Times New Roman"/>
          <w:sz w:val="24"/>
          <w:szCs w:val="24"/>
        </w:rPr>
        <w:t>. The search filter for the external dataset was applied in MEDLINE on April 3</w:t>
      </w:r>
      <w:r w:rsidRPr="00C9731B">
        <w:rPr>
          <w:rFonts w:ascii="Times New Roman" w:hAnsi="Times New Roman" w:cs="Times New Roman"/>
          <w:sz w:val="24"/>
          <w:szCs w:val="24"/>
          <w:vertAlign w:val="superscript"/>
        </w:rPr>
        <w:t>rd</w:t>
      </w:r>
      <w:r w:rsidRPr="00C9731B">
        <w:rPr>
          <w:rFonts w:ascii="Times New Roman" w:hAnsi="Times New Roman" w:cs="Times New Roman"/>
          <w:sz w:val="24"/>
          <w:szCs w:val="24"/>
        </w:rPr>
        <w:t>, 2019, for the period between January 1</w:t>
      </w:r>
      <w:r w:rsidRPr="00C9731B">
        <w:rPr>
          <w:rFonts w:ascii="Times New Roman" w:hAnsi="Times New Roman" w:cs="Times New Roman"/>
          <w:sz w:val="24"/>
          <w:szCs w:val="24"/>
          <w:vertAlign w:val="superscript"/>
        </w:rPr>
        <w:t>st</w:t>
      </w:r>
      <w:r w:rsidRPr="00C9731B">
        <w:rPr>
          <w:rFonts w:ascii="Times New Roman" w:hAnsi="Times New Roman" w:cs="Times New Roman"/>
          <w:sz w:val="24"/>
          <w:szCs w:val="24"/>
        </w:rPr>
        <w:t>, 2014, and April 3</w:t>
      </w:r>
      <w:r w:rsidRPr="00C9731B">
        <w:rPr>
          <w:rFonts w:ascii="Times New Roman" w:hAnsi="Times New Roman" w:cs="Times New Roman"/>
          <w:sz w:val="24"/>
          <w:szCs w:val="24"/>
          <w:vertAlign w:val="superscript"/>
        </w:rPr>
        <w:t>rd</w:t>
      </w:r>
      <w:r w:rsidRPr="00C9731B">
        <w:rPr>
          <w:rFonts w:ascii="Times New Roman" w:hAnsi="Times New Roman" w:cs="Times New Roman"/>
          <w:sz w:val="24"/>
          <w:szCs w:val="24"/>
        </w:rPr>
        <w:t xml:space="preserve">, 2019. The 2014 date was chosen because this was the first date the National Library of Medicine began indexing pragmatic clinical trials as a publication type.  The authors identified 4337 pragmatic articles from the search strategy, of which we used 1988 trials that were registered in ClinicalTrials.gov. From these 1988 articles, we removed 72 articles that were captured </w:t>
      </w:r>
      <w:r w:rsidRPr="00C9731B">
        <w:rPr>
          <w:rFonts w:ascii="Times New Roman" w:hAnsi="Times New Roman" w:cs="Times New Roman"/>
          <w:sz w:val="24"/>
          <w:szCs w:val="24"/>
          <w:shd w:val="clear" w:color="auto" w:fill="FFFFFF"/>
        </w:rPr>
        <w:t>in the training or validation datasets. We applied this exclusion criterion to avoid data leakage that would artificially inflate the models' performance.</w:t>
      </w:r>
      <w:r w:rsidRPr="00C9731B">
        <w:rPr>
          <w:rStyle w:val="Heading2Char"/>
          <w:rFonts w:ascii="Times New Roman" w:hAnsi="Times New Roman" w:cs="Times New Roman"/>
          <w:color w:val="auto"/>
          <w:sz w:val="24"/>
          <w:szCs w:val="24"/>
        </w:rPr>
        <w:br w:type="page"/>
      </w:r>
    </w:p>
    <w:p w:rsidR="00F03032" w:rsidRPr="00C9731B" w:rsidRDefault="00F03032" w:rsidP="00F03032">
      <w:pPr>
        <w:spacing w:line="480" w:lineRule="auto"/>
        <w:rPr>
          <w:rFonts w:ascii="Times New Roman" w:hAnsi="Times New Roman" w:cs="Times New Roman"/>
          <w:sz w:val="24"/>
          <w:szCs w:val="24"/>
        </w:rPr>
      </w:pPr>
      <w:bookmarkStart w:id="2" w:name="Appendix3"/>
      <w:r w:rsidRPr="00C9731B">
        <w:rPr>
          <w:rFonts w:ascii="Times New Roman" w:hAnsi="Times New Roman" w:cs="Times New Roman"/>
          <w:b/>
          <w:bCs/>
          <w:sz w:val="24"/>
          <w:szCs w:val="24"/>
        </w:rPr>
        <w:t>Appendix 3</w:t>
      </w:r>
      <w:bookmarkEnd w:id="2"/>
      <w:r w:rsidRPr="00C9731B">
        <w:rPr>
          <w:rFonts w:ascii="Times New Roman" w:hAnsi="Times New Roman" w:cs="Times New Roman"/>
          <w:sz w:val="24"/>
          <w:szCs w:val="24"/>
        </w:rPr>
        <w:t>: Description of the gamma and c parameters</w:t>
      </w:r>
    </w:p>
    <w:p w:rsidR="00F03032" w:rsidRPr="00C9731B" w:rsidRDefault="00F03032" w:rsidP="00F03032">
      <w:pPr>
        <w:spacing w:line="480" w:lineRule="auto"/>
        <w:rPr>
          <w:rStyle w:val="Heading2Char"/>
          <w:rFonts w:ascii="Times New Roman" w:hAnsi="Times New Roman" w:cs="Times New Roman"/>
          <w:color w:val="auto"/>
          <w:sz w:val="24"/>
          <w:szCs w:val="24"/>
        </w:rPr>
      </w:pPr>
      <w:r w:rsidRPr="00C9731B">
        <w:rPr>
          <w:rFonts w:ascii="Times New Roman" w:hAnsi="Times New Roman" w:cs="Times New Roman"/>
          <w:sz w:val="24"/>
          <w:szCs w:val="24"/>
        </w:rPr>
        <w:t>The gamma parameter is a cut-off parameter for the Gaussian sphere; increasing gamma increases the training samples' reach and a softer decision boundary (</w:t>
      </w:r>
      <w:hyperlink w:anchor="eFigure2_2" w:history="1">
        <w:r w:rsidRPr="00C9731B">
          <w:rPr>
            <w:rStyle w:val="Hyperlink"/>
            <w:rFonts w:ascii="Times New Roman" w:hAnsi="Times New Roman" w:cs="Times New Roman"/>
            <w:color w:val="auto"/>
          </w:rPr>
          <w:t>e</w:t>
        </w:r>
        <w:r w:rsidRPr="00C9731B">
          <w:rPr>
            <w:rStyle w:val="Hyperlink"/>
            <w:rFonts w:ascii="Times New Roman" w:hAnsi="Times New Roman" w:cs="Times New Roman"/>
            <w:b/>
            <w:bCs/>
            <w:color w:val="auto"/>
          </w:rPr>
          <w:t>Figure 2</w:t>
        </w:r>
      </w:hyperlink>
      <w:r w:rsidRPr="00C9731B">
        <w:rPr>
          <w:rFonts w:ascii="Times New Roman" w:hAnsi="Times New Roman" w:cs="Times New Roman"/>
          <w:sz w:val="24"/>
          <w:szCs w:val="24"/>
        </w:rPr>
        <w:t xml:space="preserve">) </w:t>
      </w:r>
      <w:r w:rsidRPr="00C9731B">
        <w:rPr>
          <w:rFonts w:ascii="Times New Roman" w:hAnsi="Times New Roman" w:cs="Times New Roman"/>
          <w:sz w:val="24"/>
          <w:szCs w:val="24"/>
        </w:rPr>
        <w:fldChar w:fldCharType="begin" w:fldLock="1"/>
      </w:r>
      <w:r w:rsidRPr="00C9731B">
        <w:rPr>
          <w:rFonts w:ascii="Times New Roman" w:hAnsi="Times New Roman" w:cs="Times New Roman"/>
          <w:sz w:val="24"/>
          <w:szCs w:val="24"/>
        </w:rPr>
        <w:instrText>ADDIN CSL_CITATION {"citationItems":[{"id":"ITEM-1","itemData":{"author":[{"dropping-particle":"","family":"Raschka","given":"Sebastian","non-dropping-particle":"","parse-names":false,"suffix":""}],"editor":[{"dropping-particle":"","family":"Hussain","given":"Akkram","non-dropping-particle":"","parse-names":false,"suffix":""},{"dropping-particle":"","family":"Youe","given":"Rebecca","non-dropping-particle":"","parse-names":false,"suffix":""},{"dropping-particle":"","family":"Rajani","given":"Meeta","non-dropping-particle":"","parse-names":false,"suffix":""},{"dropping-particle":"","family":"Tuljapurkar","given":"Riddhi","non-dropping-particle":"","parse-names":false,"suffix":""},{"dropping-particle":"","family":"Chindarkar","given":"Madhunikita Sunil","non-dropping-particle":"","parse-names":false,"suffix":""},{"dropping-particle":"","family":"Khan","given":"Taabish","non-dropping-particle":"","parse-names":false,"suffix":""},{"dropping-particle":"","family":"Banerjee","given":"Roshni","non-dropping-particle":"","parse-names":false,"suffix":""},{"dropping-particle":"","family":"Copestake","given":"Stephan","non-dropping-particle":"","parse-names":false,"suffix":""}],"id":"ITEM-1","issued":{"date-parts":[["2015"]]},"publisher":"Packt Publishing Ltd","publisher-place":"Birmingham","title":"Python Machine Learning","type":"book"},"uris":["http://www.mendeley.com/documents/?uuid=1ee2f7c7-2d95-4706-a8c4-42602a0654a4"]}],"mendeley":{"formattedCitation":"(23)","plainTextFormattedCitation":"(23)","previouslyFormattedCitation":"(23)"},"properties":{"noteIndex":0},"schema":"https://github.com/citation-style-language/schema/raw/master/csl-citation.json"}</w:instrText>
      </w:r>
      <w:r w:rsidRPr="00C9731B">
        <w:rPr>
          <w:rFonts w:ascii="Times New Roman" w:hAnsi="Times New Roman" w:cs="Times New Roman"/>
          <w:sz w:val="24"/>
          <w:szCs w:val="24"/>
        </w:rPr>
        <w:fldChar w:fldCharType="separate"/>
      </w:r>
      <w:r w:rsidRPr="00C9731B">
        <w:rPr>
          <w:rFonts w:ascii="Times New Roman" w:hAnsi="Times New Roman" w:cs="Times New Roman"/>
          <w:noProof/>
          <w:sz w:val="24"/>
          <w:szCs w:val="24"/>
        </w:rPr>
        <w:t>(23)</w:t>
      </w:r>
      <w:r w:rsidRPr="00C9731B">
        <w:rPr>
          <w:rFonts w:ascii="Times New Roman" w:hAnsi="Times New Roman" w:cs="Times New Roman"/>
          <w:sz w:val="24"/>
          <w:szCs w:val="24"/>
        </w:rPr>
        <w:fldChar w:fldCharType="end"/>
      </w:r>
      <w:r w:rsidRPr="00C9731B">
        <w:rPr>
          <w:rFonts w:ascii="Times New Roman" w:hAnsi="Times New Roman" w:cs="Times New Roman"/>
          <w:sz w:val="24"/>
          <w:szCs w:val="24"/>
        </w:rPr>
        <w:t>. The c parameter controls the penalty for misclassification. Large values of c correspond to a more substantial error penalty imposed on the model for misclassifying a record (</w:t>
      </w:r>
      <w:hyperlink w:anchor="eFigure2_2" w:history="1">
        <w:r w:rsidRPr="00C9731B">
          <w:rPr>
            <w:rStyle w:val="Hyperlink"/>
            <w:rFonts w:ascii="Times New Roman" w:hAnsi="Times New Roman" w:cs="Times New Roman"/>
            <w:b/>
            <w:bCs/>
            <w:color w:val="auto"/>
          </w:rPr>
          <w:t>eFigure 2</w:t>
        </w:r>
      </w:hyperlink>
      <w:r w:rsidRPr="00C9731B">
        <w:rPr>
          <w:rFonts w:ascii="Times New Roman" w:hAnsi="Times New Roman" w:cs="Times New Roman"/>
          <w:sz w:val="24"/>
          <w:szCs w:val="24"/>
        </w:rPr>
        <w:t xml:space="preserve">) </w:t>
      </w:r>
      <w:r w:rsidRPr="00C9731B">
        <w:rPr>
          <w:rFonts w:ascii="Times New Roman" w:hAnsi="Times New Roman" w:cs="Times New Roman"/>
          <w:sz w:val="24"/>
          <w:szCs w:val="24"/>
        </w:rPr>
        <w:fldChar w:fldCharType="begin" w:fldLock="1"/>
      </w:r>
      <w:r w:rsidRPr="00C9731B">
        <w:rPr>
          <w:rFonts w:ascii="Times New Roman" w:hAnsi="Times New Roman" w:cs="Times New Roman"/>
          <w:sz w:val="24"/>
          <w:szCs w:val="24"/>
        </w:rPr>
        <w:instrText>ADDIN CSL_CITATION {"citationItems":[{"id":"ITEM-1","itemData":{"author":[{"dropping-particle":"","family":"Raschka","given":"Sebastian","non-dropping-particle":"","parse-names":false,"suffix":""}],"editor":[{"dropping-particle":"","family":"Hussain","given":"Akkram","non-dropping-particle":"","parse-names":false,"suffix":""},{"dropping-particle":"","family":"Youe","given":"Rebecca","non-dropping-particle":"","parse-names":false,"suffix":""},{"dropping-particle":"","family":"Rajani","given":"Meeta","non-dropping-particle":"","parse-names":false,"suffix":""},{"dropping-particle":"","family":"Tuljapurkar","given":"Riddhi","non-dropping-particle":"","parse-names":false,"suffix":""},{"dropping-particle":"","family":"Chindarkar","given":"Madhunikita Sunil","non-dropping-particle":"","parse-names":false,"suffix":""},{"dropping-particle":"","family":"Khan","given":"Taabish","non-dropping-particle":"","parse-names":false,"suffix":""},{"dropping-particle":"","family":"Banerjee","given":"Roshni","non-dropping-particle":"","parse-names":false,"suffix":""},{"dropping-particle":"","family":"Copestake","given":"Stephan","non-dropping-particle":"","parse-names":false,"suffix":""}],"id":"ITEM-1","issued":{"date-parts":[["2015"]]},"publisher":"Packt Publishing Ltd","publisher-place":"Birmingham","title":"Python Machine Learning","type":"book"},"uris":["http://www.mendeley.com/documents/?uuid=1ee2f7c7-2d95-4706-a8c4-42602a0654a4"]}],"mendeley":{"formattedCitation":"(23)","plainTextFormattedCitation":"(23)","previouslyFormattedCitation":"(23)"},"properties":{"noteIndex":0},"schema":"https://github.com/citation-style-language/schema/raw/master/csl-citation.json"}</w:instrText>
      </w:r>
      <w:r w:rsidRPr="00C9731B">
        <w:rPr>
          <w:rFonts w:ascii="Times New Roman" w:hAnsi="Times New Roman" w:cs="Times New Roman"/>
          <w:sz w:val="24"/>
          <w:szCs w:val="24"/>
        </w:rPr>
        <w:fldChar w:fldCharType="separate"/>
      </w:r>
      <w:r w:rsidRPr="00C9731B">
        <w:rPr>
          <w:rFonts w:ascii="Times New Roman" w:hAnsi="Times New Roman" w:cs="Times New Roman"/>
          <w:noProof/>
          <w:sz w:val="24"/>
          <w:szCs w:val="24"/>
        </w:rPr>
        <w:t>(23)</w:t>
      </w:r>
      <w:r w:rsidRPr="00C9731B">
        <w:rPr>
          <w:rFonts w:ascii="Times New Roman" w:hAnsi="Times New Roman" w:cs="Times New Roman"/>
          <w:sz w:val="24"/>
          <w:szCs w:val="24"/>
        </w:rPr>
        <w:fldChar w:fldCharType="end"/>
      </w:r>
      <w:r w:rsidRPr="00C9731B">
        <w:rPr>
          <w:rFonts w:ascii="Times New Roman" w:hAnsi="Times New Roman" w:cs="Times New Roman"/>
          <w:sz w:val="24"/>
          <w:szCs w:val="24"/>
        </w:rPr>
        <w:t>.</w:t>
      </w:r>
      <w:r w:rsidRPr="00C9731B">
        <w:rPr>
          <w:rStyle w:val="Heading2Char"/>
          <w:rFonts w:ascii="Times New Roman" w:hAnsi="Times New Roman" w:cs="Times New Roman"/>
          <w:color w:val="auto"/>
          <w:sz w:val="24"/>
          <w:szCs w:val="24"/>
        </w:rPr>
        <w:br w:type="page"/>
      </w:r>
    </w:p>
    <w:p w:rsidR="00F03032" w:rsidRPr="00C9731B" w:rsidRDefault="00F03032" w:rsidP="00F03032">
      <w:pPr>
        <w:spacing w:line="480" w:lineRule="auto"/>
        <w:rPr>
          <w:rStyle w:val="Heading2Char"/>
          <w:rFonts w:ascii="Times New Roman" w:hAnsi="Times New Roman" w:cs="Times New Roman"/>
          <w:color w:val="auto"/>
          <w:sz w:val="24"/>
          <w:szCs w:val="24"/>
        </w:rPr>
      </w:pPr>
      <w:bookmarkStart w:id="3" w:name="Appendix4"/>
      <w:r w:rsidRPr="00C9731B">
        <w:rPr>
          <w:rFonts w:ascii="Times New Roman" w:hAnsi="Times New Roman" w:cs="Times New Roman"/>
          <w:b/>
          <w:bCs/>
          <w:sz w:val="24"/>
          <w:szCs w:val="24"/>
        </w:rPr>
        <w:t>Appendix 4</w:t>
      </w:r>
      <w:bookmarkEnd w:id="3"/>
      <w:r w:rsidRPr="00C9731B">
        <w:rPr>
          <w:rStyle w:val="Heading2Char"/>
          <w:rFonts w:ascii="Times New Roman" w:hAnsi="Times New Roman" w:cs="Times New Roman"/>
          <w:color w:val="auto"/>
          <w:sz w:val="24"/>
          <w:szCs w:val="24"/>
        </w:rPr>
        <w:t>:</w:t>
      </w:r>
      <w:r w:rsidRPr="00C9731B">
        <w:rPr>
          <w:rFonts w:ascii="Times New Roman" w:hAnsi="Times New Roman" w:cs="Times New Roman"/>
          <w:sz w:val="24"/>
          <w:szCs w:val="24"/>
        </w:rPr>
        <w:t xml:space="preserve"> Continuous skip-gram architecture</w:t>
      </w:r>
    </w:p>
    <w:p w:rsidR="00F03032" w:rsidRPr="00C9731B" w:rsidRDefault="00F03032" w:rsidP="00F03032">
      <w:pPr>
        <w:spacing w:line="480" w:lineRule="auto"/>
        <w:rPr>
          <w:rFonts w:ascii="Times New Roman" w:hAnsi="Times New Roman" w:cs="Times New Roman"/>
          <w:sz w:val="24"/>
          <w:szCs w:val="24"/>
        </w:rPr>
      </w:pPr>
      <w:r w:rsidRPr="00C9731B">
        <w:rPr>
          <w:rFonts w:ascii="Times New Roman" w:hAnsi="Times New Roman" w:cs="Times New Roman"/>
          <w:sz w:val="24"/>
          <w:szCs w:val="24"/>
        </w:rPr>
        <w:t>In the continuous skip-gram architecture, the model uses the current word to predict the surrounding window of context words; we set the window to 5 terms in our setting. The skip-gram architecture weighs nearby context words more heavily than more distant context words.</w:t>
      </w:r>
    </w:p>
    <w:p w:rsidR="00F03032" w:rsidRPr="00C9731B" w:rsidRDefault="00F03032" w:rsidP="00F03032">
      <w:pPr>
        <w:spacing w:line="480" w:lineRule="auto"/>
        <w:rPr>
          <w:rFonts w:ascii="Times New Roman" w:hAnsi="Times New Roman" w:cs="Times New Roman"/>
          <w:sz w:val="24"/>
          <w:szCs w:val="24"/>
        </w:rPr>
      </w:pPr>
      <w:r w:rsidRPr="00C9731B">
        <w:rPr>
          <w:rFonts w:ascii="Times New Roman" w:hAnsi="Times New Roman" w:cs="Times New Roman"/>
          <w:sz w:val="24"/>
          <w:szCs w:val="24"/>
        </w:rPr>
        <w:br w:type="page"/>
      </w:r>
    </w:p>
    <w:p w:rsidR="00F03032" w:rsidRPr="00C9731B" w:rsidRDefault="00F03032" w:rsidP="00F03032">
      <w:pPr>
        <w:rPr>
          <w:rFonts w:ascii="Times New Roman" w:hAnsi="Times New Roman" w:cs="Times New Roman"/>
          <w:sz w:val="24"/>
          <w:szCs w:val="24"/>
        </w:rPr>
      </w:pPr>
      <w:bookmarkStart w:id="4" w:name="Appendix5"/>
      <w:r w:rsidRPr="00C9731B">
        <w:rPr>
          <w:rFonts w:ascii="Times New Roman" w:hAnsi="Times New Roman" w:cs="Times New Roman"/>
          <w:b/>
          <w:bCs/>
          <w:sz w:val="24"/>
          <w:szCs w:val="24"/>
        </w:rPr>
        <w:t>Appendix 5</w:t>
      </w:r>
      <w:bookmarkEnd w:id="4"/>
      <w:r w:rsidRPr="00C9731B">
        <w:rPr>
          <w:rStyle w:val="Heading2Char"/>
          <w:rFonts w:ascii="Times New Roman" w:hAnsi="Times New Roman" w:cs="Times New Roman"/>
          <w:color w:val="auto"/>
          <w:sz w:val="24"/>
          <w:szCs w:val="24"/>
        </w:rPr>
        <w:t>:</w:t>
      </w:r>
      <w:r w:rsidRPr="00C9731B">
        <w:rPr>
          <w:rFonts w:ascii="Times New Roman" w:hAnsi="Times New Roman" w:cs="Times New Roman"/>
          <w:sz w:val="24"/>
          <w:szCs w:val="24"/>
        </w:rPr>
        <w:t xml:space="preserve"> Python libraries used for this project.</w:t>
      </w:r>
    </w:p>
    <w:p w:rsidR="00F03032" w:rsidRPr="00C9731B" w:rsidRDefault="00F03032" w:rsidP="00F03032">
      <w:pPr>
        <w:pStyle w:val="ListParagraph"/>
        <w:numPr>
          <w:ilvl w:val="0"/>
          <w:numId w:val="1"/>
        </w:numPr>
        <w:rPr>
          <w:rFonts w:ascii="Times New Roman" w:hAnsi="Times New Roman" w:cs="Times New Roman"/>
          <w:sz w:val="24"/>
          <w:szCs w:val="24"/>
        </w:rPr>
      </w:pPr>
      <w:r w:rsidRPr="00C9731B">
        <w:rPr>
          <w:rFonts w:ascii="Times New Roman" w:hAnsi="Times New Roman" w:cs="Times New Roman"/>
          <w:i/>
          <w:iCs/>
          <w:sz w:val="24"/>
          <w:szCs w:val="24"/>
        </w:rPr>
        <w:t>pandas</w:t>
      </w:r>
      <w:r w:rsidRPr="00C9731B">
        <w:rPr>
          <w:rFonts w:ascii="Times New Roman" w:hAnsi="Times New Roman" w:cs="Times New Roman"/>
          <w:sz w:val="24"/>
          <w:szCs w:val="24"/>
        </w:rPr>
        <w:t xml:space="preserve"> (version 0.25.1) is a package that is intended for working with relational data tables.</w:t>
      </w:r>
    </w:p>
    <w:p w:rsidR="00F03032" w:rsidRPr="00C9731B" w:rsidRDefault="00F03032" w:rsidP="00F03032">
      <w:pPr>
        <w:pStyle w:val="ListParagraph"/>
        <w:numPr>
          <w:ilvl w:val="0"/>
          <w:numId w:val="1"/>
        </w:numPr>
        <w:rPr>
          <w:rFonts w:ascii="Times New Roman" w:hAnsi="Times New Roman" w:cs="Times New Roman"/>
          <w:sz w:val="24"/>
          <w:szCs w:val="24"/>
        </w:rPr>
      </w:pPr>
      <w:r w:rsidRPr="00C9731B">
        <w:rPr>
          <w:rFonts w:ascii="Times New Roman" w:hAnsi="Times New Roman" w:cs="Times New Roman"/>
          <w:i/>
          <w:iCs/>
          <w:sz w:val="24"/>
          <w:szCs w:val="24"/>
        </w:rPr>
        <w:t>NumPy</w:t>
      </w:r>
      <w:r w:rsidRPr="00C9731B">
        <w:rPr>
          <w:rFonts w:ascii="Times New Roman" w:hAnsi="Times New Roman" w:cs="Times New Roman"/>
          <w:sz w:val="24"/>
          <w:szCs w:val="24"/>
        </w:rPr>
        <w:t xml:space="preserve"> (version 1.18.1) is a library for scientific computing, which can contain n-dimensional array objects.</w:t>
      </w:r>
    </w:p>
    <w:p w:rsidR="00F03032" w:rsidRPr="00C9731B" w:rsidRDefault="00F03032" w:rsidP="00F03032">
      <w:pPr>
        <w:pStyle w:val="ListParagraph"/>
        <w:numPr>
          <w:ilvl w:val="0"/>
          <w:numId w:val="1"/>
        </w:numPr>
        <w:rPr>
          <w:rFonts w:ascii="Times New Roman" w:hAnsi="Times New Roman" w:cs="Times New Roman"/>
          <w:sz w:val="24"/>
          <w:szCs w:val="24"/>
        </w:rPr>
      </w:pPr>
      <w:r w:rsidRPr="00C9731B">
        <w:rPr>
          <w:rFonts w:ascii="Times New Roman" w:hAnsi="Times New Roman" w:cs="Times New Roman"/>
          <w:i/>
          <w:iCs/>
          <w:sz w:val="24"/>
          <w:szCs w:val="24"/>
        </w:rPr>
        <w:t>sklearn</w:t>
      </w:r>
      <w:r w:rsidRPr="00C9731B">
        <w:rPr>
          <w:rFonts w:ascii="Times New Roman" w:hAnsi="Times New Roman" w:cs="Times New Roman"/>
          <w:sz w:val="24"/>
          <w:szCs w:val="24"/>
        </w:rPr>
        <w:t xml:space="preserve"> (version 0.22.1) is a machine learning library for Python. It features various machine learning algorithms like the support vector machine used in this project. </w:t>
      </w:r>
    </w:p>
    <w:p w:rsidR="00F03032" w:rsidRPr="00C9731B" w:rsidRDefault="00F03032" w:rsidP="00F03032">
      <w:pPr>
        <w:pStyle w:val="ListParagraph"/>
        <w:numPr>
          <w:ilvl w:val="0"/>
          <w:numId w:val="1"/>
        </w:numPr>
        <w:rPr>
          <w:rFonts w:ascii="Times New Roman" w:hAnsi="Times New Roman" w:cs="Times New Roman"/>
          <w:i/>
          <w:iCs/>
          <w:sz w:val="24"/>
          <w:szCs w:val="24"/>
        </w:rPr>
      </w:pPr>
      <w:r w:rsidRPr="00C9731B">
        <w:rPr>
          <w:rFonts w:ascii="Times New Roman" w:hAnsi="Times New Roman" w:cs="Times New Roman"/>
          <w:i/>
          <w:iCs/>
          <w:sz w:val="24"/>
          <w:szCs w:val="24"/>
        </w:rPr>
        <w:t xml:space="preserve">re </w:t>
      </w:r>
      <w:r w:rsidRPr="00C9731B">
        <w:rPr>
          <w:rFonts w:ascii="Times New Roman" w:hAnsi="Times New Roman" w:cs="Times New Roman"/>
          <w:sz w:val="24"/>
          <w:szCs w:val="24"/>
        </w:rPr>
        <w:t>is a regular expression library.</w:t>
      </w:r>
    </w:p>
    <w:p w:rsidR="00F03032" w:rsidRPr="00C9731B" w:rsidRDefault="00F03032" w:rsidP="00F03032">
      <w:pPr>
        <w:pStyle w:val="ListParagraph"/>
        <w:numPr>
          <w:ilvl w:val="0"/>
          <w:numId w:val="1"/>
        </w:numPr>
        <w:rPr>
          <w:rFonts w:ascii="Times New Roman" w:hAnsi="Times New Roman" w:cs="Times New Roman"/>
          <w:i/>
          <w:iCs/>
          <w:sz w:val="24"/>
          <w:szCs w:val="24"/>
        </w:rPr>
      </w:pPr>
      <w:r w:rsidRPr="00C9731B">
        <w:rPr>
          <w:rFonts w:ascii="Times New Roman" w:hAnsi="Times New Roman" w:cs="Times New Roman"/>
          <w:i/>
          <w:iCs/>
          <w:sz w:val="24"/>
          <w:szCs w:val="24"/>
        </w:rPr>
        <w:t>string</w:t>
      </w:r>
      <w:r w:rsidRPr="00C9731B">
        <w:rPr>
          <w:rFonts w:ascii="Times New Roman" w:hAnsi="Times New Roman" w:cs="Times New Roman"/>
          <w:sz w:val="24"/>
          <w:szCs w:val="24"/>
        </w:rPr>
        <w:t xml:space="preserve"> is a library with a collection of string constants.</w:t>
      </w:r>
    </w:p>
    <w:p w:rsidR="00F03032" w:rsidRPr="00C9731B" w:rsidRDefault="00F03032" w:rsidP="00F03032">
      <w:pPr>
        <w:pStyle w:val="ListParagraph"/>
        <w:numPr>
          <w:ilvl w:val="0"/>
          <w:numId w:val="1"/>
        </w:numPr>
        <w:rPr>
          <w:rFonts w:ascii="Times New Roman" w:hAnsi="Times New Roman" w:cs="Times New Roman"/>
          <w:i/>
          <w:iCs/>
          <w:sz w:val="24"/>
          <w:szCs w:val="24"/>
        </w:rPr>
      </w:pPr>
      <w:r w:rsidRPr="00C9731B">
        <w:rPr>
          <w:rFonts w:ascii="Times New Roman" w:hAnsi="Times New Roman" w:cs="Times New Roman"/>
          <w:i/>
          <w:iCs/>
          <w:sz w:val="24"/>
          <w:szCs w:val="24"/>
        </w:rPr>
        <w:t>nltk</w:t>
      </w:r>
      <w:r w:rsidRPr="00C9731B">
        <w:rPr>
          <w:rFonts w:ascii="Times New Roman" w:hAnsi="Times New Roman" w:cs="Times New Roman"/>
          <w:sz w:val="24"/>
          <w:szCs w:val="24"/>
        </w:rPr>
        <w:t xml:space="preserve"> (version 3.4.5) is a Natural Language Toolkit (NLTK) library used for natural language processing.</w:t>
      </w:r>
    </w:p>
    <w:p w:rsidR="00F03032" w:rsidRPr="00C9731B" w:rsidRDefault="00F03032" w:rsidP="00F03032">
      <w:pPr>
        <w:pStyle w:val="ListParagraph"/>
        <w:numPr>
          <w:ilvl w:val="0"/>
          <w:numId w:val="1"/>
        </w:numPr>
        <w:rPr>
          <w:rFonts w:ascii="Times New Roman" w:hAnsi="Times New Roman" w:cs="Times New Roman"/>
          <w:i/>
          <w:iCs/>
          <w:sz w:val="24"/>
          <w:szCs w:val="24"/>
        </w:rPr>
      </w:pPr>
      <w:r w:rsidRPr="00C9731B">
        <w:rPr>
          <w:rFonts w:ascii="Times New Roman" w:hAnsi="Times New Roman" w:cs="Times New Roman"/>
          <w:i/>
          <w:iCs/>
          <w:sz w:val="24"/>
          <w:szCs w:val="24"/>
        </w:rPr>
        <w:t>pickle</w:t>
      </w:r>
      <w:r w:rsidRPr="00C9731B">
        <w:rPr>
          <w:rFonts w:ascii="Times New Roman" w:hAnsi="Times New Roman" w:cs="Times New Roman"/>
          <w:sz w:val="24"/>
          <w:szCs w:val="24"/>
        </w:rPr>
        <w:t xml:space="preserve"> library helps create a portable serialized representation of Python objects (e.g., a data frame).</w:t>
      </w:r>
    </w:p>
    <w:p w:rsidR="00F03032" w:rsidRPr="00C9731B" w:rsidRDefault="00F03032" w:rsidP="00F03032">
      <w:pPr>
        <w:pStyle w:val="ListParagraph"/>
        <w:numPr>
          <w:ilvl w:val="0"/>
          <w:numId w:val="1"/>
        </w:numPr>
        <w:rPr>
          <w:rFonts w:ascii="Times New Roman" w:hAnsi="Times New Roman" w:cs="Times New Roman"/>
          <w:i/>
          <w:iCs/>
          <w:sz w:val="24"/>
          <w:szCs w:val="24"/>
        </w:rPr>
      </w:pPr>
      <w:r w:rsidRPr="00C9731B">
        <w:rPr>
          <w:rFonts w:ascii="Times New Roman" w:hAnsi="Times New Roman" w:cs="Times New Roman"/>
          <w:i/>
          <w:iCs/>
          <w:sz w:val="24"/>
          <w:szCs w:val="24"/>
        </w:rPr>
        <w:t>gensim</w:t>
      </w:r>
      <w:r w:rsidRPr="00C9731B">
        <w:rPr>
          <w:rFonts w:ascii="Times New Roman" w:hAnsi="Times New Roman" w:cs="Times New Roman"/>
          <w:sz w:val="24"/>
          <w:szCs w:val="24"/>
        </w:rPr>
        <w:t xml:space="preserve"> (version 3.4.0) is a library often used for natural language processing and information retrieval.</w:t>
      </w:r>
    </w:p>
    <w:p w:rsidR="00F03032" w:rsidRPr="00C9731B" w:rsidRDefault="00F03032" w:rsidP="00F03032">
      <w:pPr>
        <w:pStyle w:val="ListParagraph"/>
        <w:numPr>
          <w:ilvl w:val="0"/>
          <w:numId w:val="1"/>
        </w:numPr>
        <w:rPr>
          <w:rFonts w:ascii="Times New Roman" w:hAnsi="Times New Roman" w:cs="Times New Roman"/>
          <w:i/>
          <w:iCs/>
          <w:sz w:val="24"/>
          <w:szCs w:val="24"/>
        </w:rPr>
      </w:pPr>
      <w:r w:rsidRPr="00C9731B">
        <w:rPr>
          <w:rFonts w:ascii="Times New Roman" w:hAnsi="Times New Roman" w:cs="Times New Roman"/>
          <w:i/>
          <w:iCs/>
          <w:sz w:val="24"/>
          <w:szCs w:val="24"/>
        </w:rPr>
        <w:t>keras</w:t>
      </w:r>
      <w:r w:rsidRPr="00C9731B">
        <w:rPr>
          <w:rFonts w:ascii="Times New Roman" w:hAnsi="Times New Roman" w:cs="Times New Roman"/>
          <w:sz w:val="24"/>
          <w:szCs w:val="24"/>
        </w:rPr>
        <w:t xml:space="preserve"> (version 2.2.4-tf) is a deep learning framework for developing and evaluating deep learning models.</w:t>
      </w:r>
    </w:p>
    <w:p w:rsidR="00F03032" w:rsidRPr="00C9731B" w:rsidRDefault="00F03032" w:rsidP="00F03032">
      <w:pPr>
        <w:pStyle w:val="ListParagraph"/>
        <w:numPr>
          <w:ilvl w:val="0"/>
          <w:numId w:val="1"/>
        </w:numPr>
        <w:rPr>
          <w:rFonts w:ascii="Times New Roman" w:hAnsi="Times New Roman" w:cs="Times New Roman"/>
          <w:i/>
          <w:iCs/>
          <w:sz w:val="24"/>
          <w:szCs w:val="24"/>
        </w:rPr>
      </w:pPr>
      <w:r w:rsidRPr="00C9731B">
        <w:rPr>
          <w:rFonts w:ascii="Times New Roman" w:hAnsi="Times New Roman" w:cs="Times New Roman"/>
          <w:i/>
          <w:iCs/>
          <w:sz w:val="24"/>
          <w:szCs w:val="24"/>
        </w:rPr>
        <w:t>math</w:t>
      </w:r>
      <w:r w:rsidRPr="00C9731B">
        <w:rPr>
          <w:rFonts w:ascii="Times New Roman" w:hAnsi="Times New Roman" w:cs="Times New Roman"/>
          <w:sz w:val="24"/>
          <w:szCs w:val="24"/>
        </w:rPr>
        <w:t xml:space="preserve"> is a module that provides access to mathematical functions.</w:t>
      </w:r>
    </w:p>
    <w:p w:rsidR="00F03032" w:rsidRPr="00C9731B" w:rsidRDefault="00F03032" w:rsidP="00F03032">
      <w:pPr>
        <w:pStyle w:val="ListParagraph"/>
        <w:numPr>
          <w:ilvl w:val="0"/>
          <w:numId w:val="1"/>
        </w:numPr>
        <w:rPr>
          <w:rFonts w:ascii="Times New Roman" w:hAnsi="Times New Roman" w:cs="Times New Roman"/>
          <w:i/>
          <w:iCs/>
          <w:sz w:val="24"/>
          <w:szCs w:val="24"/>
        </w:rPr>
      </w:pPr>
      <w:r w:rsidRPr="00C9731B">
        <w:rPr>
          <w:rFonts w:ascii="Times New Roman" w:hAnsi="Times New Roman" w:cs="Times New Roman"/>
          <w:i/>
          <w:iCs/>
          <w:sz w:val="24"/>
          <w:szCs w:val="24"/>
        </w:rPr>
        <w:t>tensorflow</w:t>
      </w:r>
      <w:r w:rsidRPr="00C9731B">
        <w:rPr>
          <w:rFonts w:ascii="Times New Roman" w:hAnsi="Times New Roman" w:cs="Times New Roman"/>
          <w:sz w:val="24"/>
          <w:szCs w:val="24"/>
        </w:rPr>
        <w:t xml:space="preserve"> (version 2.0.0) is a library used for fast numerical computing.</w:t>
      </w:r>
    </w:p>
    <w:p w:rsidR="00F03032" w:rsidRPr="00C9731B" w:rsidRDefault="00F03032" w:rsidP="00F03032">
      <w:pPr>
        <w:pStyle w:val="ListParagraph"/>
        <w:numPr>
          <w:ilvl w:val="0"/>
          <w:numId w:val="1"/>
        </w:numPr>
        <w:rPr>
          <w:rFonts w:ascii="Times New Roman" w:hAnsi="Times New Roman" w:cs="Times New Roman"/>
          <w:i/>
          <w:iCs/>
          <w:sz w:val="24"/>
          <w:szCs w:val="24"/>
        </w:rPr>
      </w:pPr>
      <w:r w:rsidRPr="00C9731B">
        <w:rPr>
          <w:rFonts w:ascii="Times New Roman" w:hAnsi="Times New Roman" w:cs="Times New Roman"/>
          <w:i/>
          <w:iCs/>
          <w:sz w:val="24"/>
          <w:szCs w:val="24"/>
        </w:rPr>
        <w:t>Scattertext</w:t>
      </w:r>
      <w:r w:rsidRPr="00C9731B">
        <w:rPr>
          <w:rFonts w:ascii="Times New Roman" w:hAnsi="Times New Roman" w:cs="Times New Roman"/>
          <w:sz w:val="24"/>
          <w:szCs w:val="24"/>
        </w:rPr>
        <w:t xml:space="preserve"> (0.0.2.28) is a package that lets you interactively visualize how two categories of text are different from each other.</w:t>
      </w:r>
    </w:p>
    <w:p w:rsidR="00F03032" w:rsidRPr="00C9731B" w:rsidRDefault="00F03032" w:rsidP="00F03032">
      <w:pPr>
        <w:pStyle w:val="ListParagraph"/>
        <w:numPr>
          <w:ilvl w:val="0"/>
          <w:numId w:val="1"/>
        </w:numPr>
        <w:rPr>
          <w:rFonts w:ascii="Times New Roman" w:hAnsi="Times New Roman" w:cs="Times New Roman"/>
          <w:i/>
          <w:iCs/>
          <w:sz w:val="24"/>
          <w:szCs w:val="24"/>
        </w:rPr>
      </w:pPr>
      <w:r w:rsidRPr="00C9731B">
        <w:rPr>
          <w:rFonts w:ascii="Times New Roman" w:hAnsi="Times New Roman" w:cs="Times New Roman"/>
          <w:i/>
          <w:iCs/>
          <w:sz w:val="24"/>
          <w:szCs w:val="24"/>
        </w:rPr>
        <w:t>matplotlib</w:t>
      </w:r>
      <w:r w:rsidRPr="00C9731B">
        <w:rPr>
          <w:rFonts w:ascii="Times New Roman" w:hAnsi="Times New Roman" w:cs="Times New Roman"/>
          <w:sz w:val="24"/>
          <w:szCs w:val="24"/>
        </w:rPr>
        <w:t xml:space="preserve"> (version 3.2.1) is an object-oriented plotting library.</w:t>
      </w:r>
    </w:p>
    <w:p w:rsidR="00F03032" w:rsidRPr="00C9731B" w:rsidRDefault="00F03032" w:rsidP="00F03032">
      <w:pPr>
        <w:pStyle w:val="ListParagraph"/>
        <w:numPr>
          <w:ilvl w:val="0"/>
          <w:numId w:val="1"/>
        </w:numPr>
        <w:rPr>
          <w:rFonts w:ascii="Times New Roman" w:hAnsi="Times New Roman" w:cs="Times New Roman"/>
          <w:sz w:val="24"/>
          <w:szCs w:val="24"/>
        </w:rPr>
      </w:pPr>
      <w:r w:rsidRPr="00C9731B">
        <w:rPr>
          <w:rFonts w:ascii="Times New Roman" w:hAnsi="Times New Roman" w:cs="Times New Roman"/>
          <w:i/>
          <w:iCs/>
          <w:sz w:val="24"/>
          <w:szCs w:val="24"/>
        </w:rPr>
        <w:t>hyperopt</w:t>
      </w:r>
      <w:r w:rsidRPr="00C9731B">
        <w:rPr>
          <w:rFonts w:ascii="Times New Roman" w:hAnsi="Times New Roman" w:cs="Times New Roman"/>
          <w:sz w:val="24"/>
          <w:szCs w:val="24"/>
        </w:rPr>
        <w:t xml:space="preserve"> (version 0.2.3) is a Bayesian optimization library that allows for the automatic search of data preparation methods, machine learning algorithms, and model hyperparameters for classification and regression tasks.</w:t>
      </w:r>
    </w:p>
    <w:p w:rsidR="00F03032" w:rsidRPr="00C9731B" w:rsidRDefault="00F03032" w:rsidP="00F03032">
      <w:pPr>
        <w:rPr>
          <w:rFonts w:ascii="Times New Roman" w:hAnsi="Times New Roman" w:cs="Times New Roman"/>
          <w:sz w:val="24"/>
          <w:szCs w:val="24"/>
        </w:rPr>
      </w:pPr>
      <w:r w:rsidRPr="00C9731B">
        <w:rPr>
          <w:rFonts w:ascii="Times New Roman" w:hAnsi="Times New Roman" w:cs="Times New Roman"/>
          <w:sz w:val="24"/>
          <w:szCs w:val="24"/>
        </w:rPr>
        <w:br w:type="page"/>
      </w:r>
    </w:p>
    <w:p w:rsidR="00F03032" w:rsidRPr="00C9731B" w:rsidRDefault="00F03032" w:rsidP="00F03032">
      <w:pPr>
        <w:rPr>
          <w:rFonts w:ascii="Times New Roman" w:hAnsi="Times New Roman" w:cs="Times New Roman"/>
          <w:sz w:val="24"/>
          <w:szCs w:val="24"/>
        </w:rPr>
      </w:pPr>
      <w:bookmarkStart w:id="5" w:name="Appendix6"/>
      <w:r w:rsidRPr="00C9731B">
        <w:rPr>
          <w:rFonts w:ascii="Times New Roman" w:hAnsi="Times New Roman" w:cs="Times New Roman"/>
          <w:b/>
          <w:bCs/>
          <w:sz w:val="24"/>
          <w:szCs w:val="24"/>
        </w:rPr>
        <w:t>Appendix 6</w:t>
      </w:r>
      <w:bookmarkEnd w:id="5"/>
      <w:r w:rsidRPr="00C9731B">
        <w:rPr>
          <w:rFonts w:ascii="Times New Roman" w:hAnsi="Times New Roman" w:cs="Times New Roman"/>
          <w:sz w:val="24"/>
          <w:szCs w:val="24"/>
        </w:rPr>
        <w:t>: Screenshots of the front-end tool used for our machine learning algorithm.</w:t>
      </w:r>
    </w:p>
    <w:p w:rsidR="00F03032" w:rsidRPr="00C9731B" w:rsidRDefault="00F03032" w:rsidP="00F03032">
      <w:pPr>
        <w:rPr>
          <w:rFonts w:ascii="Times New Roman" w:hAnsi="Times New Roman" w:cs="Times New Roman"/>
          <w:sz w:val="24"/>
          <w:szCs w:val="24"/>
        </w:rPr>
      </w:pPr>
      <w:r w:rsidRPr="00C9731B">
        <w:rPr>
          <w:rFonts w:ascii="Times New Roman" w:hAnsi="Times New Roman" w:cs="Times New Roman"/>
          <w:noProof/>
          <w:sz w:val="24"/>
          <w:szCs w:val="24"/>
        </w:rPr>
        <w:t xml:space="preserve"> </w:t>
      </w:r>
    </w:p>
    <w:p w:rsidR="00F03032" w:rsidRPr="00C9731B" w:rsidRDefault="00F03032" w:rsidP="00F03032">
      <w:pPr>
        <w:spacing w:line="480" w:lineRule="auto"/>
        <w:rPr>
          <w:rFonts w:ascii="Times New Roman" w:hAnsi="Times New Roman" w:cs="Times New Roman"/>
          <w:sz w:val="24"/>
          <w:szCs w:val="24"/>
        </w:rPr>
      </w:pPr>
      <w:r w:rsidRPr="00C9731B">
        <w:rPr>
          <w:rFonts w:ascii="Times New Roman" w:hAnsi="Times New Roman" w:cs="Times New Roman"/>
          <w:noProof/>
          <w:sz w:val="24"/>
          <w:szCs w:val="24"/>
        </w:rPr>
        <w:t xml:space="preserve"> [place holder for Appendix 6 - Figure] </w:t>
      </w:r>
    </w:p>
    <w:p w:rsidR="00F03032" w:rsidRPr="00C9731B" w:rsidRDefault="00F03032" w:rsidP="00F03032">
      <w:pPr>
        <w:rPr>
          <w:rFonts w:ascii="Times New Roman" w:hAnsi="Times New Roman" w:cs="Times New Roman"/>
          <w:noProof/>
          <w:sz w:val="24"/>
          <w:szCs w:val="24"/>
        </w:rPr>
      </w:pPr>
    </w:p>
    <w:p w:rsidR="00F03032" w:rsidRPr="00C9731B" w:rsidRDefault="00F03032" w:rsidP="00F03032">
      <w:pPr>
        <w:rPr>
          <w:rFonts w:ascii="Times New Roman" w:hAnsi="Times New Roman" w:cs="Times New Roman"/>
          <w:b/>
          <w:bCs/>
          <w:sz w:val="24"/>
          <w:szCs w:val="24"/>
        </w:rPr>
      </w:pPr>
      <w:r w:rsidRPr="00C9731B">
        <w:rPr>
          <w:rFonts w:ascii="Times New Roman" w:hAnsi="Times New Roman" w:cs="Times New Roman"/>
          <w:b/>
          <w:bCs/>
          <w:sz w:val="24"/>
          <w:szCs w:val="24"/>
        </w:rPr>
        <w:br w:type="page"/>
      </w:r>
    </w:p>
    <w:p w:rsidR="00F03032" w:rsidRPr="00C9731B" w:rsidRDefault="00F03032" w:rsidP="00F03032">
      <w:pPr>
        <w:rPr>
          <w:rFonts w:ascii="Times New Roman" w:hAnsi="Times New Roman" w:cs="Times New Roman"/>
          <w:sz w:val="24"/>
          <w:szCs w:val="24"/>
        </w:rPr>
      </w:pPr>
      <w:bookmarkStart w:id="6" w:name="Appendix7"/>
      <w:r w:rsidRPr="00C9731B">
        <w:rPr>
          <w:rFonts w:ascii="Times New Roman" w:hAnsi="Times New Roman" w:cs="Times New Roman"/>
          <w:b/>
          <w:bCs/>
          <w:sz w:val="24"/>
          <w:szCs w:val="24"/>
        </w:rPr>
        <w:t>Appendix 7</w:t>
      </w:r>
      <w:bookmarkEnd w:id="6"/>
      <w:r w:rsidRPr="00C9731B">
        <w:rPr>
          <w:rFonts w:ascii="Times New Roman" w:hAnsi="Times New Roman" w:cs="Times New Roman"/>
          <w:sz w:val="24"/>
          <w:szCs w:val="24"/>
        </w:rPr>
        <w:t>: Details and results for applying our model on a dialysis-related dataset.</w:t>
      </w:r>
    </w:p>
    <w:p w:rsidR="00F03032" w:rsidRPr="00C9731B" w:rsidRDefault="00F03032" w:rsidP="00F03032">
      <w:pPr>
        <w:rPr>
          <w:rFonts w:ascii="Times New Roman" w:hAnsi="Times New Roman" w:cs="Times New Roman"/>
          <w:sz w:val="24"/>
          <w:szCs w:val="24"/>
        </w:rPr>
      </w:pPr>
    </w:p>
    <w:p w:rsidR="00F03032" w:rsidRPr="00C9731B" w:rsidRDefault="00F03032" w:rsidP="00F03032">
      <w:pPr>
        <w:pStyle w:val="NoSpacing"/>
        <w:spacing w:line="480" w:lineRule="auto"/>
        <w:rPr>
          <w:rFonts w:ascii="Times New Roman" w:hAnsi="Times New Roman" w:cs="Times New Roman"/>
          <w:sz w:val="24"/>
          <w:szCs w:val="24"/>
        </w:rPr>
      </w:pPr>
      <w:r w:rsidRPr="00C9731B">
        <w:rPr>
          <w:rFonts w:ascii="Times New Roman" w:hAnsi="Times New Roman" w:cs="Times New Roman"/>
          <w:sz w:val="24"/>
          <w:szCs w:val="24"/>
        </w:rPr>
        <w:t>This dataset included 882 articles from a search strategy that combined two search filters to identify CRT reports and dialysis studies</w:t>
      </w:r>
      <w:r w:rsidRPr="00C9731B">
        <w:rPr>
          <w:rFonts w:ascii="Times New Roman" w:hAnsi="Times New Roman" w:cs="Times New Roman"/>
          <w:noProof/>
          <w:sz w:val="24"/>
          <w:szCs w:val="24"/>
          <w:vertAlign w:val="superscript"/>
        </w:rPr>
        <w:t xml:space="preserve"> </w:t>
      </w:r>
      <w:r w:rsidRPr="00C9731B">
        <w:rPr>
          <w:rFonts w:ascii="Times New Roman" w:hAnsi="Times New Roman" w:cs="Times New Roman"/>
          <w:sz w:val="24"/>
          <w:szCs w:val="24"/>
          <w:lang w:val="en-US"/>
        </w:rPr>
        <w:fldChar w:fldCharType="begin" w:fldLock="1"/>
      </w:r>
      <w:r w:rsidRPr="00C9731B">
        <w:rPr>
          <w:rFonts w:ascii="Times New Roman" w:hAnsi="Times New Roman" w:cs="Times New Roman"/>
          <w:sz w:val="24"/>
          <w:szCs w:val="24"/>
          <w:lang w:val="en-US"/>
        </w:rPr>
        <w:instrText>ADDIN CSL_CITATION {"citationItems":[{"id":"ITEM-1","itemData":{"DOI":"10.1186/1471-2288-10-15","ISSN":"1471-2288","PMID":"20158899","abstract":"BACKGROUND Cluster randomized trials (CRTs) present unique methodological and ethical challenges. Researchers conducting systematic reviews of CRTs (e.g., addressing methodological or ethical issues) require efficient electronic search strategies (filters or hedges) to identify trials in electronic databases such as MEDLINE. According to the CONSORT statement extension to CRTs, the clustered design should be clearly identified in titles or abstracts; however, variability in terminology may make electronic identification challenging. Our objectives were to (a) evaluate sensitivity (\"recall\") and precision of a well-known electronic search strategy (\"randomized controlled trial\" as publication type) with respect to identifying CRTs, (b) evaluate the feasibility of new search strategies targeted specifically at CRTs, and (c) determine whether CRTs are appropriately identified in titles or abstracts of reports and whether there has been improvement over time. METHODS We manually examined a wide range of health journals to identify a gold standard set of CRTs. Search strategies were evaluated against the gold standard set, as well as an independent set of CRTs included in previous systematic reviews. RESULTS The existing strategy (randomized controlled trial.pt) is sensitive (93.8%) for identifying CRTs, but has relatively low precision (9%, number needed to read 11); the number needed to read can be halved to 5 (precision 18.4%) by combining with cluster design-related terms using the Boolean operator AND; combining with the Boolean operator OR maximizes sensitivity (99.4%) but would require 28.6 citations read to identify one CRT. Only about 50% of CRTs are clearly identified as cluster randomized in titles or abstracts; approximately 25% can be identified based on the reported units of randomization but are not amenable to electronic searching; the remaining 25% cannot be identified except through manual inspection of the full-text article. The proportion of trials clearly identified has increased from 28% between the years 2000-2003, to 60% between 2004-2007 (absolute increase 32%, 95% CI 17 to 47%). CONCLUSIONS CRTs should include the phrase \"cluster randomized trial\" in titles or abstracts; this will facilitate more accurate indexing of the publication type by reviewers at the National Library of Medicine, and efficient textword retrieval of the subset employing cluster randomization.","author":[{"dropping-particle":"","family":"Taljaard","given":"Monica","non-dropping-particle":"","parse-names":false,"suffix":""},{"dropping-particle":"","family":"McGowan","given":"Jessie","non-dropping-particle":"","parse-names":false,"suffix":""},{"dropping-particle":"","family":"Grimshaw","given":"Jeremy M","non-dropping-particle":"","parse-names":false,"suffix":""},{"dropping-particle":"","family":"Brehaut","given":"Jamie C","non-dropping-particle":"","parse-names":false,"suffix":""},{"dropping-particle":"","family":"McRae","given":"Andrew","non-dropping-particle":"","parse-names":false,"suffix":""},{"dropping-particle":"","family":"Eccles","given":"Martin P","non-dropping-particle":"","parse-names":false,"suffix":""},{"dropping-particle":"","family":"Donner","given":"Allan","non-dropping-particle":"","parse-names":false,"suffix":""}],"container-title":"BMC medical research methodology","id":"ITEM-1","issue":"1","issued":{"date-parts":[["2010","2","16"]]},"page":"15","title":"Electronic search strategies to identify reports of cluster randomized trials in MEDLINE: low precision will improve with adherence to reporting standards.","type":"article-journal","volume":"10"},"uris":["http://www.mendeley.com/documents/?uuid=9c726227-a912-3193-ab70-66b4584cab7b"]},{"id":"ITEM-2","itemData":{"DOI":"10.2215/CJN.02360312","ISSN":"1555-905X","PMID":"22917701","abstract":"BACKGROUND AND OBJECTIVES: Physicians frequently search bibliographic databases, such as MEDLINE via PubMed, for best evidence for patient care. The objective of this study was to develop and test search filters to help physicians efficiently retrieve literature related to dialysis (hemodialysis or peritoneal dialysis) from all other articles indexed in PubMed, Ovid MEDLINE, and Embase. DESIGN, SETTING, PARTICIPANTS, &amp; MEASUREMENTS: A diagnostic test assessment framework was used to develop and test robust dialysis filters. The reference standard was a manual review of the full texts of 22,992 articles from 39 journals to determine whether each article contained dialysis information. Next, 1,623,728 unique search filters were developed, and their ability to retrieve relevant articles was evaluated. RESULTS: The high-performance dialysis filters consisted of up to 65 search terms in combination. These terms included the words \"dialy\" (truncated), \"uremic,\" \"catheters,\" and \"renal transplant wait list.\" These filters reached peak sensitivities of 98.6% and specificities of 98.5%. The filters' performance remained robust in an independent validation subset of articles. CONCLUSIONS: These empirically derived and validated high-performance search filters should enable physicians to effectively retrieve dialysis information from PubMed, Ovid MEDLINE, and Embase.","author":[{"dropping-particle":"V","family":"Iansavichus","given":"Arthur","non-dropping-particle":"","parse-names":false,"suffix":""},{"dropping-particle":"","family":"Haynes","given":"R Brian","non-dropping-particle":"","parse-names":false,"suffix":""},{"dropping-particle":"","family":"Lee","given":"Christopher W C","non-dropping-particle":"","parse-names":false,"suffix":""},{"dropping-particle":"","family":"Wilczynski","given":"Nancy L","non-dropping-particle":"","parse-names":false,"suffix":""},{"dropping-particle":"","family":"McKibbon","given":"Ann","non-dropping-particle":"","parse-names":false,"suffix":""},{"dropping-particle":"","family":"Shariff","given":"Salimah Z","non-dropping-particle":"","parse-names":false,"suffix":""},{"dropping-particle":"","family":"Blake","given":"Peter G","non-dropping-particle":"","parse-names":false,"suffix":""},{"dropping-particle":"","family":"Lindsay","given":"Robert M","non-dropping-particle":"","parse-names":false,"suffix":""},{"dropping-particle":"","family":"Garg","given":"Amit X","non-dropping-particle":"","parse-names":false,"suffix":""}],"container-title":"Clin J Am Soc Nephrol","id":"ITEM-2","issue":"10","issued":{"date-parts":[["2012","10"]]},"page":"1624-3161","title":"Dialysis search filters for PubMed, Ovid MEDLINE, and Embase databases.","type":"article-journal","volume":"7"},"uris":["http://www.mendeley.com/documents/?uuid=7dd822cc-499e-47fe-aa04-349dd3b9e14c"]}],"mendeley":{"formattedCitation":"(12,50)","plainTextFormattedCitation":"(12,50)","previouslyFormattedCitation":"(12,50)"},"properties":{"noteIndex":0},"schema":"https://github.com/citation-style-language/schema/raw/master/csl-citation.json"}</w:instrText>
      </w:r>
      <w:r w:rsidRPr="00C9731B">
        <w:rPr>
          <w:rFonts w:ascii="Times New Roman" w:hAnsi="Times New Roman" w:cs="Times New Roman"/>
          <w:sz w:val="24"/>
          <w:szCs w:val="24"/>
          <w:lang w:val="en-US"/>
        </w:rPr>
        <w:fldChar w:fldCharType="separate"/>
      </w:r>
      <w:r w:rsidRPr="00C9731B">
        <w:rPr>
          <w:rFonts w:ascii="Times New Roman" w:hAnsi="Times New Roman" w:cs="Times New Roman"/>
          <w:noProof/>
          <w:sz w:val="24"/>
          <w:szCs w:val="24"/>
          <w:lang w:val="en-US"/>
        </w:rPr>
        <w:t>(12,50)</w:t>
      </w:r>
      <w:r w:rsidRPr="00C9731B">
        <w:rPr>
          <w:rFonts w:ascii="Times New Roman" w:hAnsi="Times New Roman" w:cs="Times New Roman"/>
          <w:sz w:val="24"/>
          <w:szCs w:val="24"/>
          <w:lang w:val="en-US"/>
        </w:rPr>
        <w:fldChar w:fldCharType="end"/>
      </w:r>
      <w:r w:rsidRPr="00C9731B">
        <w:rPr>
          <w:rFonts w:ascii="Times New Roman" w:hAnsi="Times New Roman" w:cs="Times New Roman"/>
          <w:sz w:val="24"/>
          <w:szCs w:val="24"/>
          <w:lang w:val="en-US"/>
        </w:rPr>
        <w:t>.</w:t>
      </w:r>
      <w:r w:rsidRPr="00C9731B">
        <w:rPr>
          <w:rFonts w:ascii="Times New Roman" w:hAnsi="Times New Roman" w:cs="Times New Roman"/>
          <w:sz w:val="24"/>
          <w:szCs w:val="24"/>
        </w:rPr>
        <w:t xml:space="preserve"> Two reviewers screened titles and abstracts to identify CRT reports in the hemodialysis setting. We excluded CRT reports unrelated to in-center hemodialysis. We applied our algorithms to this dataset to evaluate whether it reduced the number of articles needed to screen without excluding hemodialysis-related CRT reports.</w:t>
      </w:r>
    </w:p>
    <w:p w:rsidR="00F03032" w:rsidRPr="00C9731B" w:rsidRDefault="00F03032" w:rsidP="00F03032">
      <w:pPr>
        <w:spacing w:line="480" w:lineRule="auto"/>
        <w:rPr>
          <w:rFonts w:ascii="Times New Roman" w:hAnsi="Times New Roman" w:cs="Times New Roman"/>
          <w:sz w:val="24"/>
          <w:szCs w:val="24"/>
        </w:rPr>
      </w:pPr>
      <w:r w:rsidRPr="00C9731B">
        <w:rPr>
          <w:rFonts w:ascii="Times New Roman" w:hAnsi="Times New Roman" w:cs="Times New Roman"/>
          <w:sz w:val="24"/>
          <w:szCs w:val="24"/>
        </w:rPr>
        <w:t>The</w:t>
      </w:r>
      <w:r w:rsidRPr="00C9731B">
        <w:rPr>
          <w:rFonts w:ascii="Times New Roman" w:hAnsi="Times New Roman" w:cs="Times New Roman"/>
          <w:b/>
          <w:bCs/>
          <w:sz w:val="24"/>
          <w:szCs w:val="24"/>
        </w:rPr>
        <w:t xml:space="preserve"> </w:t>
      </w:r>
      <w:hyperlink w:anchor="eTable" w:history="1">
        <w:r w:rsidRPr="00C9731B">
          <w:rPr>
            <w:rStyle w:val="Hyperlink"/>
            <w:rFonts w:ascii="Times New Roman" w:hAnsi="Times New Roman" w:cs="Times New Roman"/>
            <w:b/>
            <w:bCs/>
            <w:color w:val="auto"/>
          </w:rPr>
          <w:t>eTable</w:t>
        </w:r>
      </w:hyperlink>
      <w:r w:rsidRPr="00C9731B">
        <w:rPr>
          <w:rFonts w:ascii="Times New Roman" w:hAnsi="Times New Roman" w:cs="Times New Roman"/>
          <w:b/>
          <w:bCs/>
          <w:sz w:val="24"/>
          <w:szCs w:val="24"/>
        </w:rPr>
        <w:t xml:space="preserve"> </w:t>
      </w:r>
      <w:r w:rsidRPr="00C9731B">
        <w:rPr>
          <w:rFonts w:ascii="Times New Roman" w:hAnsi="Times New Roman" w:cs="Times New Roman"/>
          <w:sz w:val="24"/>
          <w:szCs w:val="24"/>
        </w:rPr>
        <w:t xml:space="preserve">below showed the results when our model was applied in practice to classify CRT reports in the dialysis setting. The models correctly classified 33 of the 34 dialysis-related CRT reports. The number of articles needed to screen to capture a single CRT was reduced from 26 to 11.4. </w:t>
      </w:r>
    </w:p>
    <w:p w:rsidR="00F03032" w:rsidRPr="00C9731B" w:rsidRDefault="00F03032" w:rsidP="00F03032">
      <w:pPr>
        <w:spacing w:line="240" w:lineRule="auto"/>
        <w:rPr>
          <w:rFonts w:ascii="Times New Roman" w:hAnsi="Times New Roman" w:cs="Times New Roman"/>
          <w:sz w:val="24"/>
          <w:szCs w:val="24"/>
        </w:rPr>
      </w:pPr>
      <w:bookmarkStart w:id="7" w:name="eTable1"/>
      <w:r w:rsidRPr="00C9731B">
        <w:rPr>
          <w:rFonts w:ascii="Times New Roman" w:hAnsi="Times New Roman" w:cs="Times New Roman"/>
          <w:b/>
          <w:bCs/>
          <w:sz w:val="24"/>
          <w:szCs w:val="24"/>
        </w:rPr>
        <w:t>eTable</w:t>
      </w:r>
      <w:bookmarkEnd w:id="7"/>
      <w:r w:rsidRPr="00C9731B">
        <w:rPr>
          <w:rFonts w:ascii="Times New Roman" w:hAnsi="Times New Roman" w:cs="Times New Roman"/>
          <w:b/>
          <w:bCs/>
          <w:sz w:val="24"/>
          <w:szCs w:val="24"/>
        </w:rPr>
        <w:t xml:space="preserve"> 1</w:t>
      </w:r>
      <w:r w:rsidRPr="00C9731B">
        <w:rPr>
          <w:rFonts w:ascii="Times New Roman" w:hAnsi="Times New Roman" w:cs="Times New Roman"/>
          <w:sz w:val="24"/>
          <w:szCs w:val="24"/>
        </w:rPr>
        <w:t>: Number of relevant articles retrieved with and without machine learning algorithm using the demonstration dataset (n=882 records). The research objective was to review CRTs in the hemodialysis setting to report key methodological and ethical issues.</w:t>
      </w:r>
    </w:p>
    <w:tbl>
      <w:tblPr>
        <w:tblStyle w:val="TableGrid"/>
        <w:tblW w:w="8642" w:type="dxa"/>
        <w:tblLook w:val="04A0" w:firstRow="1" w:lastRow="0" w:firstColumn="1" w:lastColumn="0" w:noHBand="0" w:noVBand="1"/>
      </w:tblPr>
      <w:tblGrid>
        <w:gridCol w:w="2337"/>
        <w:gridCol w:w="3152"/>
        <w:gridCol w:w="3153"/>
      </w:tblGrid>
      <w:tr w:rsidR="00F03032" w:rsidRPr="00C9731B" w:rsidTr="00250DFE">
        <w:trPr>
          <w:trHeight w:val="340"/>
        </w:trPr>
        <w:tc>
          <w:tcPr>
            <w:tcW w:w="2337" w:type="dxa"/>
          </w:tcPr>
          <w:p w:rsidR="00F03032" w:rsidRPr="00C9731B" w:rsidRDefault="00F03032" w:rsidP="00250DFE">
            <w:pPr>
              <w:spacing w:line="480" w:lineRule="auto"/>
              <w:rPr>
                <w:rFonts w:ascii="Times New Roman" w:hAnsi="Times New Roman" w:cs="Times New Roman"/>
              </w:rPr>
            </w:pPr>
            <w:r w:rsidRPr="00C9731B">
              <w:rPr>
                <w:rFonts w:ascii="Times New Roman" w:hAnsi="Times New Roman" w:cs="Times New Roman"/>
              </w:rPr>
              <w:t xml:space="preserve"> </w:t>
            </w:r>
          </w:p>
        </w:tc>
        <w:tc>
          <w:tcPr>
            <w:tcW w:w="3152" w:type="dxa"/>
          </w:tcPr>
          <w:p w:rsidR="00F03032" w:rsidRPr="00C9731B" w:rsidRDefault="00F03032" w:rsidP="00250DFE">
            <w:pPr>
              <w:spacing w:line="480" w:lineRule="auto"/>
              <w:rPr>
                <w:rFonts w:ascii="Times New Roman" w:hAnsi="Times New Roman" w:cs="Times New Roman"/>
              </w:rPr>
            </w:pPr>
            <w:r w:rsidRPr="00C9731B">
              <w:rPr>
                <w:rFonts w:ascii="Times New Roman" w:hAnsi="Times New Roman" w:cs="Times New Roman"/>
              </w:rPr>
              <w:t>Number of relevant CRT articles identified</w:t>
            </w:r>
          </w:p>
        </w:tc>
        <w:tc>
          <w:tcPr>
            <w:tcW w:w="3153" w:type="dxa"/>
          </w:tcPr>
          <w:p w:rsidR="00F03032" w:rsidRPr="00C9731B" w:rsidRDefault="00F03032" w:rsidP="00250DFE">
            <w:pPr>
              <w:spacing w:line="480" w:lineRule="auto"/>
              <w:rPr>
                <w:rFonts w:ascii="Times New Roman" w:hAnsi="Times New Roman" w:cs="Times New Roman"/>
              </w:rPr>
            </w:pPr>
            <w:r w:rsidRPr="00C9731B">
              <w:rPr>
                <w:rFonts w:ascii="Times New Roman" w:hAnsi="Times New Roman" w:cs="Times New Roman"/>
              </w:rPr>
              <w:t>Number of non-relevant articles captured</w:t>
            </w:r>
          </w:p>
        </w:tc>
      </w:tr>
      <w:tr w:rsidR="00F03032" w:rsidRPr="00C9731B" w:rsidTr="00250DFE">
        <w:trPr>
          <w:trHeight w:val="340"/>
        </w:trPr>
        <w:tc>
          <w:tcPr>
            <w:tcW w:w="2337" w:type="dxa"/>
          </w:tcPr>
          <w:p w:rsidR="00F03032" w:rsidRPr="00C9731B" w:rsidRDefault="00F03032" w:rsidP="00250DFE">
            <w:pPr>
              <w:spacing w:line="480" w:lineRule="auto"/>
              <w:rPr>
                <w:rFonts w:ascii="Times New Roman" w:hAnsi="Times New Roman" w:cs="Times New Roman"/>
              </w:rPr>
            </w:pPr>
            <w:r w:rsidRPr="00C9731B">
              <w:rPr>
                <w:rFonts w:ascii="Times New Roman" w:hAnsi="Times New Roman" w:cs="Times New Roman"/>
              </w:rPr>
              <w:t>Manual screening</w:t>
            </w:r>
          </w:p>
        </w:tc>
        <w:tc>
          <w:tcPr>
            <w:tcW w:w="3152" w:type="dxa"/>
          </w:tcPr>
          <w:p w:rsidR="00F03032" w:rsidRPr="00C9731B" w:rsidRDefault="00F03032" w:rsidP="00250DFE">
            <w:pPr>
              <w:spacing w:line="480" w:lineRule="auto"/>
              <w:rPr>
                <w:rFonts w:ascii="Times New Roman" w:hAnsi="Times New Roman" w:cs="Times New Roman"/>
              </w:rPr>
            </w:pPr>
            <w:r w:rsidRPr="00C9731B">
              <w:rPr>
                <w:rFonts w:ascii="Times New Roman" w:hAnsi="Times New Roman" w:cs="Times New Roman"/>
              </w:rPr>
              <w:t>34*</w:t>
            </w:r>
          </w:p>
        </w:tc>
        <w:tc>
          <w:tcPr>
            <w:tcW w:w="3153" w:type="dxa"/>
          </w:tcPr>
          <w:p w:rsidR="00F03032" w:rsidRPr="00C9731B" w:rsidRDefault="00F03032" w:rsidP="00250DFE">
            <w:pPr>
              <w:spacing w:line="480" w:lineRule="auto"/>
              <w:rPr>
                <w:rFonts w:ascii="Times New Roman" w:hAnsi="Times New Roman" w:cs="Times New Roman"/>
              </w:rPr>
            </w:pPr>
            <w:r w:rsidRPr="00C9731B">
              <w:rPr>
                <w:rFonts w:ascii="Times New Roman" w:hAnsi="Times New Roman" w:cs="Times New Roman"/>
              </w:rPr>
              <w:t xml:space="preserve">848 </w:t>
            </w:r>
            <w:r w:rsidRPr="00C9731B">
              <w:rPr>
                <w:rFonts w:ascii="Times New Roman" w:hAnsi="Times New Roman" w:cs="Times New Roman"/>
                <w:vertAlign w:val="superscript"/>
              </w:rPr>
              <w:t>++</w:t>
            </w:r>
          </w:p>
        </w:tc>
      </w:tr>
      <w:tr w:rsidR="00F03032" w:rsidRPr="00C9731B" w:rsidTr="00250DFE">
        <w:trPr>
          <w:trHeight w:val="340"/>
        </w:trPr>
        <w:tc>
          <w:tcPr>
            <w:tcW w:w="2337" w:type="dxa"/>
          </w:tcPr>
          <w:p w:rsidR="00F03032" w:rsidRPr="00C9731B" w:rsidRDefault="00F03032" w:rsidP="00250DFE">
            <w:pPr>
              <w:spacing w:line="480" w:lineRule="auto"/>
              <w:rPr>
                <w:rFonts w:ascii="Times New Roman" w:hAnsi="Times New Roman" w:cs="Times New Roman"/>
              </w:rPr>
            </w:pPr>
            <w:r w:rsidRPr="00C9731B">
              <w:rPr>
                <w:rFonts w:ascii="Times New Roman" w:hAnsi="Times New Roman" w:cs="Times New Roman"/>
              </w:rPr>
              <w:t>Ensemble</w:t>
            </w:r>
          </w:p>
        </w:tc>
        <w:tc>
          <w:tcPr>
            <w:tcW w:w="3152" w:type="dxa"/>
          </w:tcPr>
          <w:p w:rsidR="00F03032" w:rsidRPr="00C9731B" w:rsidRDefault="00F03032" w:rsidP="00250DFE">
            <w:pPr>
              <w:spacing w:line="480" w:lineRule="auto"/>
              <w:rPr>
                <w:rFonts w:ascii="Times New Roman" w:hAnsi="Times New Roman" w:cs="Times New Roman"/>
              </w:rPr>
            </w:pPr>
            <w:r w:rsidRPr="00C9731B">
              <w:rPr>
                <w:rFonts w:ascii="Times New Roman" w:hAnsi="Times New Roman" w:cs="Times New Roman"/>
              </w:rPr>
              <w:t>33**</w:t>
            </w:r>
          </w:p>
        </w:tc>
        <w:tc>
          <w:tcPr>
            <w:tcW w:w="3153" w:type="dxa"/>
          </w:tcPr>
          <w:p w:rsidR="00F03032" w:rsidRPr="00C9731B" w:rsidRDefault="00F03032" w:rsidP="00250DFE">
            <w:pPr>
              <w:spacing w:line="480" w:lineRule="auto"/>
              <w:rPr>
                <w:rFonts w:ascii="Times New Roman" w:hAnsi="Times New Roman" w:cs="Times New Roman"/>
              </w:rPr>
            </w:pPr>
            <w:r w:rsidRPr="00C9731B">
              <w:rPr>
                <w:rFonts w:ascii="Times New Roman" w:hAnsi="Times New Roman" w:cs="Times New Roman"/>
              </w:rPr>
              <w:t xml:space="preserve">343 </w:t>
            </w:r>
            <w:r w:rsidRPr="00C9731B">
              <w:rPr>
                <w:rFonts w:ascii="Times New Roman" w:hAnsi="Times New Roman" w:cs="Times New Roman"/>
                <w:vertAlign w:val="superscript"/>
              </w:rPr>
              <w:t>++</w:t>
            </w:r>
          </w:p>
        </w:tc>
      </w:tr>
    </w:tbl>
    <w:p w:rsidR="00F03032" w:rsidRPr="00C9731B" w:rsidRDefault="00F03032" w:rsidP="00F03032">
      <w:pPr>
        <w:spacing w:line="240" w:lineRule="auto"/>
        <w:rPr>
          <w:rFonts w:ascii="Times New Roman" w:hAnsi="Times New Roman" w:cs="Times New Roman"/>
          <w:sz w:val="24"/>
          <w:szCs w:val="24"/>
        </w:rPr>
      </w:pPr>
    </w:p>
    <w:p w:rsidR="00F03032" w:rsidRPr="00C9731B" w:rsidRDefault="00F03032" w:rsidP="00F03032">
      <w:pPr>
        <w:spacing w:line="240" w:lineRule="auto"/>
        <w:rPr>
          <w:rFonts w:ascii="Times New Roman" w:hAnsi="Times New Roman" w:cs="Times New Roman"/>
          <w:sz w:val="24"/>
          <w:szCs w:val="24"/>
        </w:rPr>
      </w:pPr>
      <w:r w:rsidRPr="00C9731B">
        <w:rPr>
          <w:rFonts w:ascii="Times New Roman" w:hAnsi="Times New Roman" w:cs="Times New Roman"/>
          <w:sz w:val="24"/>
          <w:szCs w:val="24"/>
        </w:rPr>
        <w:t xml:space="preserve">* There was a total of 36 cluster randomized trials (CRTs) conducted in the hemodialysis setting. Two of the 36 CRT articles were identified in the included articles' reference list and are not included above. The title and abstract of these two had no indication they utilized a CRT study design and these articles were not picked up by the CRT search filter </w:t>
      </w:r>
      <w:r w:rsidRPr="00C9731B">
        <w:rPr>
          <w:rFonts w:ascii="Times New Roman" w:hAnsi="Times New Roman" w:cs="Times New Roman"/>
          <w:sz w:val="24"/>
          <w:szCs w:val="24"/>
        </w:rPr>
        <w:fldChar w:fldCharType="begin" w:fldLock="1"/>
      </w:r>
      <w:r w:rsidRPr="00C9731B">
        <w:rPr>
          <w:rFonts w:ascii="Times New Roman" w:hAnsi="Times New Roman" w:cs="Times New Roman"/>
          <w:sz w:val="24"/>
          <w:szCs w:val="24"/>
        </w:rPr>
        <w:instrText>ADDIN CSL_CITATION {"citationItems":[{"id":"ITEM-1","itemData":{"ISSN":"1526744X","PMID":"22866361","abstract":"Hypertension in patients on hemodialysis (HD) contributes significantly to their morbidity and mortality. This study examined whether a supportive nursing intervention incorporating monitoring, goal setting, and reinforcement can improve blood pressure (BP) control in a chronic HD population. A randomized controlled design was used and 118 participants were recruited from six HD units in the Detroit metro area. The intervention consisted of (1) BP education sessions; (2) a 12-week intervention, including monitoring, goal setting, and reinforcement; and (3) a 30-day post-intervention follow-up period. Participants in the treatment were asked to monitor their BP, sodium, and fluid intake weekly for 12 weeks in weekly logs. BP, fluid and sodium logs were reviewed weekly with the researcher to determine if goals were met or not met. Reinforcement was given for goals met and problem solving offered when goals were not met. The control group received standard care. Both systolic and diastolic BPs were significantly decreased in the treatment group.","author":[{"dropping-particle":"","family":"Kauric-Klein","given":"Zorica","non-dropping-particle":"","parse-names":false,"suffix":""}],"container-title":"Nephrology nursing journal : journal of the American Nephrology Nurses' Association","id":"ITEM-1","issue":"3","issued":{"date-parts":[["2012"]]},"page":"217-228","title":"Improving blood pressure control in end stage renal disease through a supportive educative nursing intervention.","type":"article-journal","volume":"39"},"uris":["http://www.mendeley.com/documents/?uuid=03ffd5f1-99c5-3898-987d-9507e38a22f6"]},{"id":"ITEM-2","itemData":{"DOI":"10.1007/s12160-015-9741-0","ISSN":"1532-4796","PMID":"26631085","abstract":"OBJECTIVE The purpose of this study is to evaluate the efficacy of a behavioral self-regulation intervention vs. active control condition using a parallel-group randomized clinical trial with a sample of center hemodialysis patients with chronic kidney disease. METHOD Participants were recruited from 8 hemodialysis treatment centers in the Midwest. Eligible patients were (a) fluid nonadherent as defined by an interdialytic weight gain &gt;2.5 kg over a 4-week period, (b) &gt;18 years of age, (c) English-speaking without severe cognitive impairment, (d) treated with center-based hemodialysis for &gt;3 months, and (e) not living in a care facility in which meals were managed. Medical records were used to identify eligible patients. Patients were randomly assigned to either a behavioral self-regulation intervention or active control condition in which groups of 3-8 patients met for hour-long, weekly sessions for 7 weeks at their usual hemodialysis clinic. Primary analyses were intention-to-treat. RESULTS Sixty-one patients were randomized to the intervention while 58 were assigned to the attention-placebo support and discussion control. Covariate-adjusted between-subjects analyses demonstrated no unique intervention effect for the primary outcome, interdialytic weight gain (β = 0.13, p = 0.48). Significant within-subjects improvement over time was observed for the intervention group (β = -0.32, p = 0.014). CONCLUSIONS The present study found that participation in a behavioral self-regulation intervention resulted in no unique intervention effect on a key indicator of adherence for those with severe chronic kidney disease. There was, however, modest within-subjects improvement in interdialytic weight gain for the intervention group which meshes with other evidence showing the utility of behavioral interventions in this patient population. ClinicalTrials.gov Identifier: NCT01066949.","author":[{"dropping-particle":"","family":"Howren","given":"M Bryant","non-dropping-particle":"","parse-names":false,"suffix":""},{"dropping-particle":"","family":"Kellerman","given":"Quinn D","non-dropping-particle":"","parse-names":false,"suffix":""},{"dropping-particle":"","family":"Hillis","given":"Stephen L","non-dropping-particle":"","parse-names":false,"suffix":""},{"dropping-particle":"","family":"Cvengros","given":"Jamie","non-dropping-particle":"","parse-names":false,"suffix":""},{"dropping-particle":"","family":"Lawton","given":"William","non-dropping-particle":"","parse-names":false,"suffix":""},{"dropping-particle":"","family":"Christensen","given":"Alan J","non-dropping-particle":"","parse-names":false,"suffix":""}],"container-title":"Annals of behavioral medicine : a publication of the Society of Behavioral Medicine","id":"ITEM-2","issue":"2","issued":{"date-parts":[["2016","4"]]},"page":"167-76","title":"Effect of a Behavioral Self-Regulation Intervention on Patient Adherence to Fluid-Intake Restrictions in Hemodialysis: a Randomized Controlled Trial.","type":"article-journal","volume":"50"},"uris":["http://www.mendeley.com/documents/?uuid=534f7cce-991b-3b3f-a340-c2bf413ac897"]}],"mendeley":{"formattedCitation":"(51,52)","plainTextFormattedCitation":"(51,52)","previouslyFormattedCitation":"(51,52)"},"properties":{"noteIndex":0},"schema":"https://github.com/citation-style-language/schema/raw/master/csl-citation.json"}</w:instrText>
      </w:r>
      <w:r w:rsidRPr="00C9731B">
        <w:rPr>
          <w:rFonts w:ascii="Times New Roman" w:hAnsi="Times New Roman" w:cs="Times New Roman"/>
          <w:sz w:val="24"/>
          <w:szCs w:val="24"/>
        </w:rPr>
        <w:fldChar w:fldCharType="separate"/>
      </w:r>
      <w:r w:rsidRPr="00C9731B">
        <w:rPr>
          <w:rFonts w:ascii="Times New Roman" w:hAnsi="Times New Roman" w:cs="Times New Roman"/>
          <w:noProof/>
          <w:sz w:val="24"/>
          <w:szCs w:val="24"/>
        </w:rPr>
        <w:t>(51,52)</w:t>
      </w:r>
      <w:r w:rsidRPr="00C9731B">
        <w:rPr>
          <w:rFonts w:ascii="Times New Roman" w:hAnsi="Times New Roman" w:cs="Times New Roman"/>
          <w:sz w:val="24"/>
          <w:szCs w:val="24"/>
        </w:rPr>
        <w:fldChar w:fldCharType="end"/>
      </w:r>
      <w:r w:rsidRPr="00C9731B">
        <w:rPr>
          <w:rFonts w:ascii="Times New Roman" w:hAnsi="Times New Roman" w:cs="Times New Roman"/>
          <w:sz w:val="24"/>
          <w:szCs w:val="24"/>
        </w:rPr>
        <w:t>.</w:t>
      </w:r>
    </w:p>
    <w:p w:rsidR="00F03032" w:rsidRPr="00C9731B" w:rsidRDefault="00F03032" w:rsidP="00F03032">
      <w:pPr>
        <w:spacing w:line="240" w:lineRule="auto"/>
        <w:rPr>
          <w:rFonts w:ascii="Times New Roman" w:hAnsi="Times New Roman" w:cs="Times New Roman"/>
          <w:sz w:val="24"/>
          <w:szCs w:val="24"/>
        </w:rPr>
      </w:pPr>
      <w:r w:rsidRPr="00C9731B">
        <w:rPr>
          <w:rFonts w:ascii="Times New Roman" w:hAnsi="Times New Roman" w:cs="Times New Roman"/>
          <w:sz w:val="24"/>
          <w:szCs w:val="24"/>
        </w:rPr>
        <w:t xml:space="preserve">** The missed article stated it was a "group randomized trial" but later stated, "Patients at participating dialysis centers were randomized… </w:t>
      </w:r>
      <w:r w:rsidRPr="00C9731B">
        <w:rPr>
          <w:rFonts w:ascii="Times New Roman" w:hAnsi="Times New Roman" w:cs="Times New Roman"/>
          <w:sz w:val="24"/>
          <w:szCs w:val="24"/>
        </w:rPr>
        <w:fldChar w:fldCharType="begin" w:fldLock="1"/>
      </w:r>
      <w:r w:rsidRPr="00C9731B">
        <w:rPr>
          <w:rFonts w:ascii="Times New Roman" w:hAnsi="Times New Roman" w:cs="Times New Roman"/>
          <w:sz w:val="24"/>
          <w:szCs w:val="24"/>
        </w:rPr>
        <w:instrText>ADDIN CSL_CITATION {"citationItems":[{"id":"ITEM-1","itemData":{"DOI":"10.1177/1526924818765815","ISSN":"1526-9248","PMID":"29699451","abstract":"INTRODUCTION Dialysis centers must provide transplant education to patients but often do not address the risks and benefits of living and deceased donor transplant. RESEARCH QUESTIONS In a group randomized controlled trial of 20 dialysis centers and 253 patients, we assessed whether the Explore Transplant education program increased patients' readiness to pursue transplant, transplant knowledge, informed transplant decision-making, discussions about transplant with potential living donors, pursuit and receipt of living or deceased donor transplant, and whether these effects varied by race. METHODS Patients at participating dialysis centers were randomized to receive either (1) a 4-module Explore Transplant education program, including videos, printed materials, and transplant educator discussions or (2) standard-of-care transplant education provided by dialysis centers. The trial had 3 phases: (1) pre- and postsurveying and dialysis center education (2007-2008), (2) follow-up to determine whether patients restarted or began transplant evaluation (2008-2010), and (3) assessment of participants' receipt of a renal transplant (2012-2015). RESULTS Compared to patients in standard-of-care dialysis centers, patients who received the intervention were more likely to increase in their stage of readiness for living donor transplantation (odds ratio: 2.50; 95% confidence interval: 1.10-5.66), had greater increases in their transplant knowledge ( P &lt; .001), and were more likely to call to restart/begin transplant evaluation (38% vs 24%, P = .006). When analyses were stratified by race, black patients were more likely to take several steps toward transplant in comparison to whites. DISCUSSION The Explore Transplant helps dialysis patients make informed decisions and increases their pursuit of transplant, particularly among black patients.","author":[{"dropping-particle":"","family":"Waterman","given":"Amy D","non-dropping-particle":"","parse-names":false,"suffix":""},{"dropping-particle":"","family":"Peipert","given":"John Devin","non-dropping-particle":"","parse-names":false,"suffix":""}],"container-title":"Progress in transplantation (Aliso Viejo, Calif.)","id":"ITEM-1","issue":"2","issued":{"date-parts":[["2018","6","26"]]},"page":"174-183","title":"An Explore Transplant Group Randomized Controlled Education Trial to Increase Dialysis Patients' Decision-Making and Pursuit of Transplantation.","type":"article-journal","volume":"28"},"uris":["http://www.mendeley.com/documents/?uuid=6911f01c-43e8-33b5-b6af-60713458c135"]}],"mendeley":{"formattedCitation":"(53)","plainTextFormattedCitation":"(53)","previouslyFormattedCitation":"(53)"},"properties":{"noteIndex":0},"schema":"https://github.com/citation-style-language/schema/raw/master/csl-citation.json"}</w:instrText>
      </w:r>
      <w:r w:rsidRPr="00C9731B">
        <w:rPr>
          <w:rFonts w:ascii="Times New Roman" w:hAnsi="Times New Roman" w:cs="Times New Roman"/>
          <w:sz w:val="24"/>
          <w:szCs w:val="24"/>
        </w:rPr>
        <w:fldChar w:fldCharType="separate"/>
      </w:r>
      <w:r w:rsidRPr="00C9731B">
        <w:rPr>
          <w:rFonts w:ascii="Times New Roman" w:hAnsi="Times New Roman" w:cs="Times New Roman"/>
          <w:noProof/>
          <w:sz w:val="24"/>
          <w:szCs w:val="24"/>
        </w:rPr>
        <w:t>(53)</w:t>
      </w:r>
      <w:r w:rsidRPr="00C9731B">
        <w:rPr>
          <w:rFonts w:ascii="Times New Roman" w:hAnsi="Times New Roman" w:cs="Times New Roman"/>
          <w:sz w:val="24"/>
          <w:szCs w:val="24"/>
        </w:rPr>
        <w:fldChar w:fldCharType="end"/>
      </w:r>
      <w:r w:rsidRPr="00C9731B">
        <w:rPr>
          <w:rFonts w:ascii="Times New Roman" w:hAnsi="Times New Roman" w:cs="Times New Roman"/>
          <w:sz w:val="24"/>
          <w:szCs w:val="24"/>
        </w:rPr>
        <w:t xml:space="preserve">. </w:t>
      </w:r>
    </w:p>
    <w:p w:rsidR="00F03032" w:rsidRPr="00C9731B" w:rsidRDefault="00F03032" w:rsidP="00F03032">
      <w:pPr>
        <w:spacing w:line="240" w:lineRule="auto"/>
        <w:rPr>
          <w:rStyle w:val="Heading2Char"/>
          <w:rFonts w:ascii="Times New Roman" w:hAnsi="Times New Roman" w:cs="Times New Roman"/>
          <w:color w:val="auto"/>
          <w:sz w:val="24"/>
          <w:szCs w:val="24"/>
        </w:rPr>
      </w:pPr>
      <w:r w:rsidRPr="00C9731B">
        <w:rPr>
          <w:rFonts w:ascii="Times New Roman" w:hAnsi="Times New Roman" w:cs="Times New Roman"/>
          <w:sz w:val="24"/>
          <w:szCs w:val="24"/>
        </w:rPr>
        <w:t>++ A proportion of these articles were CRTs unrelated to the hemodialysis setting and were not relevant to the respective review's research objective.</w:t>
      </w:r>
      <w:r w:rsidRPr="00C9731B">
        <w:rPr>
          <w:rStyle w:val="Heading2Char"/>
          <w:rFonts w:ascii="Times New Roman" w:hAnsi="Times New Roman" w:cs="Times New Roman"/>
          <w:color w:val="auto"/>
          <w:sz w:val="24"/>
          <w:szCs w:val="24"/>
        </w:rPr>
        <w:br w:type="page"/>
      </w:r>
    </w:p>
    <w:p w:rsidR="00F03032" w:rsidRPr="00C9731B" w:rsidRDefault="00F03032" w:rsidP="00F03032">
      <w:pPr>
        <w:spacing w:line="480" w:lineRule="auto"/>
        <w:rPr>
          <w:rFonts w:ascii="Times New Roman" w:hAnsi="Times New Roman" w:cs="Times New Roman"/>
          <w:sz w:val="24"/>
          <w:szCs w:val="24"/>
        </w:rPr>
      </w:pPr>
      <w:bookmarkStart w:id="8" w:name="eFigure1"/>
      <w:r w:rsidRPr="00C9731B">
        <w:rPr>
          <w:rFonts w:ascii="Times New Roman" w:hAnsi="Times New Roman" w:cs="Times New Roman"/>
          <w:b/>
          <w:bCs/>
          <w:sz w:val="24"/>
          <w:szCs w:val="24"/>
        </w:rPr>
        <w:t>eFigure 1</w:t>
      </w:r>
      <w:bookmarkEnd w:id="8"/>
      <w:r w:rsidRPr="00C9731B">
        <w:rPr>
          <w:rFonts w:ascii="Times New Roman" w:hAnsi="Times New Roman" w:cs="Times New Roman"/>
          <w:sz w:val="24"/>
          <w:szCs w:val="24"/>
        </w:rPr>
        <w:t xml:space="preserve">: A general architecture for a convolutional neural work used for text classification.  </w:t>
      </w:r>
    </w:p>
    <w:p w:rsidR="00F03032" w:rsidRPr="00C9731B" w:rsidRDefault="00F03032" w:rsidP="00F03032">
      <w:pPr>
        <w:spacing w:line="480" w:lineRule="auto"/>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6369250" cy="3589507"/>
            <wp:effectExtent l="0" t="0" r="0" b="0"/>
            <wp:docPr id="1" name="Picture 1" descr="C:\Users\abn8088\Downloads\eFigure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bn8088\Downloads\eFigure1.t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413545" cy="3614470"/>
                    </a:xfrm>
                    <a:prstGeom prst="rect">
                      <a:avLst/>
                    </a:prstGeom>
                    <a:noFill/>
                    <a:ln>
                      <a:noFill/>
                    </a:ln>
                  </pic:spPr>
                </pic:pic>
              </a:graphicData>
            </a:graphic>
          </wp:inline>
        </w:drawing>
      </w:r>
    </w:p>
    <w:p w:rsidR="00F03032" w:rsidRPr="00C9731B" w:rsidRDefault="00F03032" w:rsidP="00F03032">
      <w:pPr>
        <w:rPr>
          <w:rFonts w:ascii="Times New Roman" w:hAnsi="Times New Roman" w:cs="Times New Roman"/>
        </w:rPr>
      </w:pPr>
      <w:r w:rsidRPr="00C9731B">
        <w:rPr>
          <w:rFonts w:ascii="Times New Roman" w:hAnsi="Times New Roman" w:cs="Times New Roman"/>
        </w:rPr>
        <w:br w:type="page"/>
      </w:r>
    </w:p>
    <w:p w:rsidR="00F03032" w:rsidRPr="00C9731B" w:rsidRDefault="00F03032" w:rsidP="00F03032">
      <w:pPr>
        <w:rPr>
          <w:rFonts w:ascii="Times New Roman" w:hAnsi="Times New Roman" w:cs="Times New Roman"/>
          <w:sz w:val="24"/>
          <w:szCs w:val="24"/>
        </w:rPr>
      </w:pPr>
      <w:bookmarkStart w:id="9" w:name="eFigure2"/>
      <w:r w:rsidRPr="00C9731B">
        <w:rPr>
          <w:rFonts w:ascii="Times New Roman" w:hAnsi="Times New Roman" w:cs="Times New Roman"/>
          <w:b/>
          <w:bCs/>
          <w:sz w:val="24"/>
          <w:szCs w:val="24"/>
        </w:rPr>
        <w:t>eFigure 2</w:t>
      </w:r>
      <w:bookmarkEnd w:id="9"/>
      <w:r w:rsidRPr="00C9731B">
        <w:rPr>
          <w:rStyle w:val="Heading2Char"/>
          <w:rFonts w:ascii="Times New Roman" w:hAnsi="Times New Roman" w:cs="Times New Roman"/>
          <w:color w:val="auto"/>
          <w:sz w:val="24"/>
          <w:szCs w:val="24"/>
        </w:rPr>
        <w:t>:</w:t>
      </w:r>
      <w:r w:rsidRPr="00C9731B">
        <w:rPr>
          <w:rFonts w:ascii="Times New Roman" w:hAnsi="Times New Roman" w:cs="Times New Roman"/>
          <w:sz w:val="24"/>
          <w:szCs w:val="24"/>
        </w:rPr>
        <w:t xml:space="preserve"> This figure shows the decision boundaries and support vectors for different settings of the regularization parameter (C) and Kernel coefficient (gamma). We used the mglearn package to create this figure </w:t>
      </w:r>
      <w:r w:rsidRPr="00C9731B">
        <w:rPr>
          <w:rFonts w:ascii="Times New Roman" w:hAnsi="Times New Roman" w:cs="Times New Roman"/>
          <w:sz w:val="24"/>
          <w:szCs w:val="24"/>
        </w:rPr>
        <w:fldChar w:fldCharType="begin" w:fldLock="1"/>
      </w:r>
      <w:r w:rsidRPr="00C9731B">
        <w:rPr>
          <w:rFonts w:ascii="Times New Roman" w:hAnsi="Times New Roman" w:cs="Times New Roman"/>
          <w:sz w:val="24"/>
          <w:szCs w:val="24"/>
        </w:rPr>
        <w:instrText>ADDIN CSL_CITATION {"citationItems":[{"id":"ITEM-1","itemData":{"ISBN":"9781449369415","abstract":"Objective global condition assessment for highway bridges is sought to transform the traditional process of subjective rating and evaluation to one which objectively incorporates all the past, present, and future systems and properties which affect the performance and global health of a structure. The two fundamental concepts which provide the basis for this transformation are structural reliability and structural identification. In conjunction with laboratory and analytical-computational support for the research, actual operating facilities are utilized as test specimens for a reasonable check and balance between academic vision, current state-of-the-art research tools, and the actual state of engineering practice. The two basic and distinct experimental approaches offering the greatest promise for feasibly generating objective and detailed information about the mechanical characteristics and loading mechanisms of an operating structure are dynamic testing and instrumented monitoring.","author":[{"dropping-particle":"","family":"Müller","given":"Andreas C","non-dropping-particle":"","parse-names":false,"suffix":""},{"dropping-particle":"","family":"Guido","given":"Sarah","non-dropping-particle":"","parse-names":false,"suffix":""}],"container-title":"Proceedings of the Speciality Conference on Infrastructure Condition Assessmenr: Art, Science, Practice","editor":[{"dropping-particle":"","family":"Schanafelt","given":"Dawn","non-dropping-particle":"","parse-names":false,"suffix":""}],"id":"ITEM-1","issued":{"date-parts":[["2017"]]},"publisher":"O’Reilly Media, Inc.","publisher-place":"Sebastopol, California","title":"Introduction to with Python Learning Machine","type":"book"},"uris":["http://www.mendeley.com/documents/?uuid=75113d4e-28c3-4b12-9990-a189e29b50f6"]}],"mendeley":{"formattedCitation":"(26)","plainTextFormattedCitation":"(26)","previouslyFormattedCitation":"(26)"},"properties":{"noteIndex":0},"schema":"https://github.com/citation-style-language/schema/raw/master/csl-citation.json"}</w:instrText>
      </w:r>
      <w:r w:rsidRPr="00C9731B">
        <w:rPr>
          <w:rFonts w:ascii="Times New Roman" w:hAnsi="Times New Roman" w:cs="Times New Roman"/>
          <w:sz w:val="24"/>
          <w:szCs w:val="24"/>
        </w:rPr>
        <w:fldChar w:fldCharType="separate"/>
      </w:r>
      <w:r w:rsidRPr="00C9731B">
        <w:rPr>
          <w:rFonts w:ascii="Times New Roman" w:hAnsi="Times New Roman" w:cs="Times New Roman"/>
          <w:noProof/>
          <w:sz w:val="24"/>
          <w:szCs w:val="24"/>
        </w:rPr>
        <w:t>(26)</w:t>
      </w:r>
      <w:r w:rsidRPr="00C9731B">
        <w:rPr>
          <w:rFonts w:ascii="Times New Roman" w:hAnsi="Times New Roman" w:cs="Times New Roman"/>
          <w:sz w:val="24"/>
          <w:szCs w:val="24"/>
        </w:rPr>
        <w:fldChar w:fldCharType="end"/>
      </w:r>
      <w:r w:rsidRPr="00C9731B">
        <w:rPr>
          <w:rFonts w:ascii="Times New Roman" w:hAnsi="Times New Roman" w:cs="Times New Roman"/>
          <w:sz w:val="24"/>
          <w:szCs w:val="24"/>
        </w:rPr>
        <w:t xml:space="preserve">. </w:t>
      </w:r>
    </w:p>
    <w:p w:rsidR="00F03032" w:rsidRPr="00C9731B" w:rsidRDefault="00F03032" w:rsidP="00F03032">
      <w:pPr>
        <w:rPr>
          <w:rFonts w:ascii="Times New Roman" w:hAnsi="Times New Roman" w:cs="Times New Roman"/>
          <w:b/>
          <w:bCs/>
          <w:noProof/>
        </w:rPr>
      </w:pPr>
    </w:p>
    <w:p w:rsidR="00F03032" w:rsidRPr="00C9731B" w:rsidRDefault="00F03032" w:rsidP="00F03032">
      <w:pPr>
        <w:rPr>
          <w:rFonts w:ascii="Times New Roman" w:hAnsi="Times New Roman" w:cs="Times New Roman"/>
          <w:b/>
          <w:bCs/>
        </w:rPr>
      </w:pPr>
      <w:r>
        <w:rPr>
          <w:rFonts w:ascii="Times New Roman" w:hAnsi="Times New Roman" w:cs="Times New Roman"/>
          <w:noProof/>
          <w:sz w:val="24"/>
          <w:szCs w:val="24"/>
        </w:rPr>
        <w:drawing>
          <wp:inline distT="0" distB="0" distL="0" distR="0">
            <wp:extent cx="5963055" cy="3360589"/>
            <wp:effectExtent l="0" t="0" r="0" b="0"/>
            <wp:docPr id="2" name="Picture 2" descr="C:\Users\abn8088\Downloads\eFigure2.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bn8088\Downloads\eFigure2.t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65761" cy="3362114"/>
                    </a:xfrm>
                    <a:prstGeom prst="rect">
                      <a:avLst/>
                    </a:prstGeom>
                    <a:noFill/>
                    <a:ln>
                      <a:noFill/>
                    </a:ln>
                  </pic:spPr>
                </pic:pic>
              </a:graphicData>
            </a:graphic>
          </wp:inline>
        </w:drawing>
      </w:r>
    </w:p>
    <w:p w:rsidR="00F03032" w:rsidRPr="00C9731B" w:rsidRDefault="00F03032" w:rsidP="00F03032">
      <w:pPr>
        <w:rPr>
          <w:rStyle w:val="Heading2Char"/>
          <w:rFonts w:ascii="Times New Roman" w:hAnsi="Times New Roman" w:cs="Times New Roman"/>
          <w:color w:val="auto"/>
        </w:rPr>
      </w:pPr>
      <w:r w:rsidRPr="00C9731B">
        <w:rPr>
          <w:rStyle w:val="Heading2Char"/>
          <w:rFonts w:ascii="Times New Roman" w:hAnsi="Times New Roman" w:cs="Times New Roman"/>
          <w:color w:val="auto"/>
          <w:sz w:val="24"/>
          <w:szCs w:val="24"/>
        </w:rPr>
        <w:br w:type="page"/>
      </w:r>
    </w:p>
    <w:p w:rsidR="00F03032" w:rsidRPr="00C9731B" w:rsidRDefault="00F03032" w:rsidP="00F03032">
      <w:pPr>
        <w:spacing w:line="240" w:lineRule="auto"/>
        <w:rPr>
          <w:rFonts w:ascii="Times New Roman" w:hAnsi="Times New Roman" w:cs="Times New Roman"/>
          <w:sz w:val="24"/>
          <w:szCs w:val="24"/>
        </w:rPr>
      </w:pPr>
      <w:bookmarkStart w:id="10" w:name="eFigure3"/>
      <w:r w:rsidRPr="00C9731B">
        <w:rPr>
          <w:rFonts w:ascii="Times New Roman" w:hAnsi="Times New Roman" w:cs="Times New Roman"/>
          <w:b/>
          <w:bCs/>
          <w:sz w:val="24"/>
          <w:szCs w:val="24"/>
        </w:rPr>
        <w:t>eFigure 3</w:t>
      </w:r>
      <w:bookmarkEnd w:id="10"/>
      <w:r w:rsidRPr="00C9731B">
        <w:rPr>
          <w:rFonts w:ascii="Times New Roman" w:hAnsi="Times New Roman" w:cs="Times New Roman"/>
          <w:sz w:val="24"/>
          <w:szCs w:val="24"/>
        </w:rPr>
        <w:t>: Probability plot for the CRTs in the first external data classified as a CRT (Figure A, 665 CRTs) and non-CRTs classified as a CRT (Figure B, 1251 non-CRTs). The x-axis depicts the stacked ensemble model's prediction of the article being classified as a CRT. The y-axis represents the proportion of all documents that had the corresponding probability.</w:t>
      </w:r>
    </w:p>
    <w:p w:rsidR="00F03032" w:rsidRPr="00C9731B" w:rsidRDefault="00F03032" w:rsidP="00F03032">
      <w:pPr>
        <w:spacing w:line="480" w:lineRule="auto"/>
        <w:rPr>
          <w:rFonts w:ascii="Times New Roman" w:hAnsi="Times New Roman" w:cs="Times New Roman"/>
          <w:sz w:val="24"/>
          <w:szCs w:val="24"/>
        </w:rPr>
      </w:pPr>
      <w:r w:rsidRPr="00C9731B">
        <w:rPr>
          <w:rFonts w:ascii="Times New Roman" w:hAnsi="Times New Roman" w:cs="Times New Roman"/>
          <w:sz w:val="24"/>
          <w:szCs w:val="24"/>
        </w:rPr>
        <w:t xml:space="preserve"> </w:t>
      </w:r>
      <w:bookmarkStart w:id="11" w:name="_GoBack"/>
      <w:bookmarkEnd w:id="11"/>
    </w:p>
    <w:p w:rsidR="00F03032" w:rsidRPr="00C9731B" w:rsidRDefault="00F03032" w:rsidP="00F03032">
      <w:pPr>
        <w:rPr>
          <w:rFonts w:ascii="Times New Roman" w:hAnsi="Times New Roman" w:cs="Times New Roman"/>
          <w:noProof/>
          <w:sz w:val="24"/>
          <w:szCs w:val="24"/>
        </w:rPr>
      </w:pPr>
      <w:r>
        <w:rPr>
          <w:rFonts w:ascii="Times New Roman" w:hAnsi="Times New Roman" w:cs="Times New Roman"/>
          <w:noProof/>
          <w:sz w:val="24"/>
          <w:szCs w:val="24"/>
        </w:rPr>
        <w:drawing>
          <wp:inline distT="0" distB="0" distL="0" distR="0">
            <wp:extent cx="6858000" cy="5146040"/>
            <wp:effectExtent l="0" t="0" r="0" b="0"/>
            <wp:docPr id="4" name="Picture 4" descr="C:\Users\abn8088\Downloads\OnlineeFigure3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bn8088\Downloads\OnlineeFigure3a.P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858000" cy="5146040"/>
                    </a:xfrm>
                    <a:prstGeom prst="rect">
                      <a:avLst/>
                    </a:prstGeom>
                    <a:noFill/>
                    <a:ln>
                      <a:noFill/>
                    </a:ln>
                  </pic:spPr>
                </pic:pic>
              </a:graphicData>
            </a:graphic>
          </wp:inline>
        </w:drawing>
      </w:r>
      <w:r>
        <w:rPr>
          <w:rFonts w:ascii="Times New Roman" w:hAnsi="Times New Roman" w:cs="Times New Roman"/>
          <w:noProof/>
          <w:sz w:val="24"/>
          <w:szCs w:val="24"/>
        </w:rPr>
        <w:drawing>
          <wp:inline distT="0" distB="0" distL="0" distR="0">
            <wp:extent cx="6858000" cy="5146040"/>
            <wp:effectExtent l="0" t="0" r="0" b="0"/>
            <wp:docPr id="5" name="Picture 5" descr="C:\Users\abn8088\Downloads\OnlineeFigure3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abn8088\Downloads\OnlineeFigure3b.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858000" cy="5146040"/>
                    </a:xfrm>
                    <a:prstGeom prst="rect">
                      <a:avLst/>
                    </a:prstGeom>
                    <a:noFill/>
                    <a:ln>
                      <a:noFill/>
                    </a:ln>
                  </pic:spPr>
                </pic:pic>
              </a:graphicData>
            </a:graphic>
          </wp:inline>
        </w:drawing>
      </w:r>
      <w:r w:rsidRPr="00C9731B">
        <w:rPr>
          <w:rFonts w:ascii="Times New Roman" w:hAnsi="Times New Roman" w:cs="Times New Roman"/>
          <w:noProof/>
          <w:sz w:val="24"/>
          <w:szCs w:val="24"/>
        </w:rPr>
        <w:br w:type="page"/>
      </w:r>
    </w:p>
    <w:p w:rsidR="00F03032" w:rsidRPr="00C9731B" w:rsidRDefault="00F03032" w:rsidP="00F03032">
      <w:pPr>
        <w:spacing w:line="480" w:lineRule="auto"/>
        <w:rPr>
          <w:rFonts w:ascii="Times New Roman" w:hAnsi="Times New Roman" w:cs="Times New Roman"/>
          <w:sz w:val="24"/>
          <w:szCs w:val="24"/>
        </w:rPr>
      </w:pPr>
      <w:r w:rsidRPr="00C9731B">
        <w:rPr>
          <w:rFonts w:ascii="Times New Roman" w:hAnsi="Times New Roman" w:cs="Times New Roman"/>
          <w:b/>
          <w:bCs/>
          <w:sz w:val="24"/>
          <w:szCs w:val="24"/>
        </w:rPr>
        <w:t>Appendix 8</w:t>
      </w:r>
      <w:r w:rsidRPr="00C9731B">
        <w:rPr>
          <w:rFonts w:ascii="Times New Roman" w:hAnsi="Times New Roman" w:cs="Times New Roman"/>
          <w:sz w:val="24"/>
          <w:szCs w:val="24"/>
        </w:rPr>
        <w:t>: Examples of titles and abstracts that were classified incorrectly by our algortihms.</w:t>
      </w:r>
    </w:p>
    <w:p w:rsidR="00F03032" w:rsidRPr="00C9731B" w:rsidRDefault="00F03032" w:rsidP="00F03032">
      <w:pPr>
        <w:pStyle w:val="ListParagraph"/>
        <w:numPr>
          <w:ilvl w:val="0"/>
          <w:numId w:val="2"/>
        </w:numPr>
        <w:spacing w:line="480" w:lineRule="auto"/>
        <w:rPr>
          <w:rFonts w:ascii="Times New Roman" w:hAnsi="Times New Roman" w:cs="Times New Roman"/>
          <w:b/>
          <w:bCs/>
          <w:sz w:val="24"/>
          <w:szCs w:val="24"/>
          <w:u w:val="single"/>
        </w:rPr>
      </w:pPr>
      <w:bookmarkStart w:id="12" w:name="Appendix8A"/>
      <w:r w:rsidRPr="00C9731B">
        <w:rPr>
          <w:rFonts w:ascii="Times New Roman" w:hAnsi="Times New Roman" w:cs="Times New Roman"/>
          <w:b/>
          <w:bCs/>
          <w:sz w:val="24"/>
          <w:szCs w:val="24"/>
          <w:u w:val="single"/>
        </w:rPr>
        <w:t>Example 1</w:t>
      </w:r>
    </w:p>
    <w:bookmarkEnd w:id="12"/>
    <w:p w:rsidR="00F03032" w:rsidRPr="00C9731B" w:rsidRDefault="00F03032" w:rsidP="00F03032">
      <w:pPr>
        <w:spacing w:line="480" w:lineRule="auto"/>
        <w:rPr>
          <w:rFonts w:ascii="Times New Roman" w:hAnsi="Times New Roman" w:cs="Times New Roman"/>
          <w:b/>
          <w:bCs/>
          <w:i/>
          <w:iCs/>
          <w:sz w:val="24"/>
          <w:szCs w:val="24"/>
        </w:rPr>
      </w:pPr>
      <w:r w:rsidRPr="00C9731B">
        <w:rPr>
          <w:rFonts w:ascii="Times New Roman" w:hAnsi="Times New Roman" w:cs="Times New Roman"/>
          <w:b/>
          <w:bCs/>
          <w:i/>
          <w:iCs/>
          <w:sz w:val="24"/>
          <w:szCs w:val="24"/>
        </w:rPr>
        <w:t xml:space="preserve">True classification: </w:t>
      </w:r>
      <w:r w:rsidRPr="00C9731B">
        <w:rPr>
          <w:rFonts w:ascii="Times New Roman" w:hAnsi="Times New Roman" w:cs="Times New Roman"/>
          <w:sz w:val="24"/>
          <w:szCs w:val="24"/>
        </w:rPr>
        <w:t>Not a CRT report</w:t>
      </w:r>
    </w:p>
    <w:p w:rsidR="00F03032" w:rsidRPr="00C9731B" w:rsidRDefault="00F03032" w:rsidP="00F03032">
      <w:pPr>
        <w:spacing w:line="480" w:lineRule="auto"/>
        <w:rPr>
          <w:rFonts w:ascii="Times New Roman" w:hAnsi="Times New Roman" w:cs="Times New Roman"/>
          <w:b/>
          <w:bCs/>
          <w:i/>
          <w:iCs/>
          <w:sz w:val="24"/>
          <w:szCs w:val="24"/>
        </w:rPr>
      </w:pPr>
      <w:r w:rsidRPr="00C9731B">
        <w:rPr>
          <w:rFonts w:ascii="Times New Roman" w:hAnsi="Times New Roman" w:cs="Times New Roman"/>
          <w:b/>
          <w:bCs/>
          <w:i/>
          <w:iCs/>
          <w:sz w:val="24"/>
          <w:szCs w:val="24"/>
        </w:rPr>
        <w:t>Probability of being a cluster trial report:</w:t>
      </w:r>
      <w:r w:rsidRPr="00C9731B">
        <w:rPr>
          <w:rFonts w:ascii="Times New Roman" w:hAnsi="Times New Roman" w:cs="Times New Roman"/>
          <w:sz w:val="24"/>
          <w:szCs w:val="24"/>
        </w:rPr>
        <w:t xml:space="preserve"> 52%</w:t>
      </w:r>
    </w:p>
    <w:p w:rsidR="00F03032" w:rsidRPr="00C9731B" w:rsidRDefault="00F03032" w:rsidP="00F03032">
      <w:pPr>
        <w:spacing w:line="480" w:lineRule="auto"/>
        <w:rPr>
          <w:rFonts w:ascii="Times New Roman" w:hAnsi="Times New Roman" w:cs="Times New Roman"/>
          <w:sz w:val="24"/>
          <w:szCs w:val="24"/>
        </w:rPr>
      </w:pPr>
      <w:r w:rsidRPr="00C9731B">
        <w:rPr>
          <w:rFonts w:ascii="Times New Roman" w:hAnsi="Times New Roman" w:cs="Times New Roman"/>
          <w:b/>
          <w:bCs/>
          <w:i/>
          <w:iCs/>
          <w:sz w:val="24"/>
          <w:szCs w:val="24"/>
        </w:rPr>
        <w:t>Title:</w:t>
      </w:r>
      <w:r w:rsidRPr="00C9731B">
        <w:rPr>
          <w:rFonts w:ascii="Times New Roman" w:hAnsi="Times New Roman" w:cs="Times New Roman"/>
          <w:sz w:val="24"/>
          <w:szCs w:val="24"/>
        </w:rPr>
        <w:t xml:space="preserve"> Why is a treatment aimed at psychosocial factors not effective in patients with (sub)acute low back pain?.</w:t>
      </w:r>
    </w:p>
    <w:p w:rsidR="00F03032" w:rsidRPr="00C9731B" w:rsidRDefault="00F03032" w:rsidP="00F03032">
      <w:pPr>
        <w:spacing w:line="480" w:lineRule="auto"/>
      </w:pPr>
      <w:r w:rsidRPr="00C9731B">
        <w:rPr>
          <w:rFonts w:ascii="Times New Roman" w:hAnsi="Times New Roman" w:cs="Times New Roman"/>
          <w:b/>
          <w:bCs/>
          <w:i/>
          <w:iCs/>
          <w:sz w:val="24"/>
          <w:szCs w:val="24"/>
        </w:rPr>
        <w:t>Abstract:</w:t>
      </w:r>
      <w:r w:rsidRPr="00C9731B">
        <w:t xml:space="preserve"> </w:t>
      </w:r>
    </w:p>
    <w:p w:rsidR="00F03032" w:rsidRPr="00C9731B" w:rsidRDefault="00F03032" w:rsidP="00F03032">
      <w:pPr>
        <w:spacing w:line="480" w:lineRule="auto"/>
        <w:rPr>
          <w:rFonts w:ascii="Times New Roman" w:hAnsi="Times New Roman" w:cs="Times New Roman"/>
          <w:b/>
          <w:bCs/>
          <w:sz w:val="24"/>
          <w:szCs w:val="24"/>
          <w:u w:val="single"/>
        </w:rPr>
      </w:pPr>
      <w:r w:rsidRPr="00C9731B">
        <w:rPr>
          <w:rFonts w:ascii="Times New Roman" w:hAnsi="Times New Roman" w:cs="Times New Roman"/>
          <w:sz w:val="24"/>
          <w:szCs w:val="24"/>
        </w:rPr>
        <w:t>Psychosocial factors have been shown to play an important role in the development of chronic low back pain (LBP). In our recently completed cluster-randomized trial we found, however, no evidence of an effect of our minimal intervention strategy (MIS) aimed at psychosocial factors, over usual care (UC) in patients with (sub)acute LBP. To explore the reasons why, this paper presents an evaluation of the processes presumably underlying the effectiveness of MIS. General practitioner (GP) attitude was evaluated by the Pain Attitudes and Beliefs Scale and two additional questions. GP behaviour was evaluated by analysing treatment registration forms and patients' responses to items regarding treatment content. Patients also scored items on satisfaction and compliance. Modification of psychosocial measures was evaluated by analysing changes after 6 and 52 weeks on the Fear Avoidance and Beliefs Questionnaire, the Coping Strategies Questionnaire and the 4-Dimensional Symptom Questionnaire. A total of 60 GPs and 314 patients participated in the study. GPs in the MIS-group adopted a less biomedical orientated attitude than in the UC-group, but were only moderately successful in identification of psychosocial factors. Treatment contents as perceived by the patient and patient satisfaction differed significantly between both groups. Changes on psychosocial measures, however, did not differ between groups. The suboptimal identification of psychosocial factors in the MIS-group and the absence of a relevant impact on psychosocial factors may explain why MIS was not more effective than UC.</w:t>
      </w:r>
    </w:p>
    <w:p w:rsidR="00F03032" w:rsidRPr="00C9731B" w:rsidRDefault="00F03032" w:rsidP="00F03032">
      <w:pPr>
        <w:spacing w:line="480" w:lineRule="auto"/>
        <w:rPr>
          <w:rFonts w:ascii="Times New Roman" w:hAnsi="Times New Roman" w:cs="Times New Roman"/>
          <w:b/>
          <w:bCs/>
          <w:sz w:val="24"/>
          <w:szCs w:val="24"/>
          <w:u w:val="single"/>
        </w:rPr>
      </w:pPr>
    </w:p>
    <w:p w:rsidR="00F03032" w:rsidRPr="00C9731B" w:rsidRDefault="00F03032" w:rsidP="00F03032">
      <w:pPr>
        <w:rPr>
          <w:rFonts w:ascii="Times New Roman" w:hAnsi="Times New Roman" w:cs="Times New Roman"/>
          <w:b/>
          <w:bCs/>
          <w:sz w:val="24"/>
          <w:szCs w:val="24"/>
          <w:u w:val="single"/>
        </w:rPr>
      </w:pPr>
      <w:r w:rsidRPr="00C9731B">
        <w:rPr>
          <w:rFonts w:ascii="Times New Roman" w:hAnsi="Times New Roman" w:cs="Times New Roman"/>
          <w:b/>
          <w:bCs/>
          <w:sz w:val="24"/>
          <w:szCs w:val="24"/>
          <w:u w:val="single"/>
        </w:rPr>
        <w:br w:type="page"/>
      </w:r>
    </w:p>
    <w:p w:rsidR="00F03032" w:rsidRPr="00C9731B" w:rsidRDefault="00F03032" w:rsidP="00F03032">
      <w:pPr>
        <w:spacing w:line="480" w:lineRule="auto"/>
        <w:rPr>
          <w:rFonts w:ascii="Times New Roman" w:hAnsi="Times New Roman" w:cs="Times New Roman"/>
          <w:b/>
          <w:bCs/>
          <w:sz w:val="24"/>
          <w:szCs w:val="24"/>
          <w:u w:val="single"/>
        </w:rPr>
      </w:pPr>
      <w:r w:rsidRPr="00C9731B">
        <w:rPr>
          <w:rFonts w:ascii="Times New Roman" w:hAnsi="Times New Roman" w:cs="Times New Roman"/>
          <w:b/>
          <w:bCs/>
          <w:sz w:val="24"/>
          <w:szCs w:val="24"/>
          <w:u w:val="single"/>
        </w:rPr>
        <w:t>Example 2</w:t>
      </w:r>
    </w:p>
    <w:p w:rsidR="00F03032" w:rsidRPr="00C9731B" w:rsidRDefault="00F03032" w:rsidP="00F03032">
      <w:pPr>
        <w:spacing w:line="480" w:lineRule="auto"/>
        <w:rPr>
          <w:rFonts w:ascii="Times New Roman" w:hAnsi="Times New Roman" w:cs="Times New Roman"/>
          <w:b/>
          <w:bCs/>
          <w:i/>
          <w:iCs/>
          <w:sz w:val="24"/>
          <w:szCs w:val="24"/>
        </w:rPr>
      </w:pPr>
      <w:r w:rsidRPr="00C9731B">
        <w:rPr>
          <w:rFonts w:ascii="Times New Roman" w:hAnsi="Times New Roman" w:cs="Times New Roman"/>
          <w:b/>
          <w:bCs/>
          <w:i/>
          <w:iCs/>
          <w:sz w:val="24"/>
          <w:szCs w:val="24"/>
        </w:rPr>
        <w:t xml:space="preserve">True classification: </w:t>
      </w:r>
      <w:r w:rsidRPr="00C9731B">
        <w:rPr>
          <w:rFonts w:ascii="Times New Roman" w:hAnsi="Times New Roman" w:cs="Times New Roman"/>
          <w:sz w:val="24"/>
          <w:szCs w:val="24"/>
        </w:rPr>
        <w:t>Not a CRT report</w:t>
      </w:r>
    </w:p>
    <w:p w:rsidR="00F03032" w:rsidRPr="00C9731B" w:rsidRDefault="00F03032" w:rsidP="00F03032">
      <w:pPr>
        <w:spacing w:line="480" w:lineRule="auto"/>
        <w:rPr>
          <w:rFonts w:ascii="Times New Roman" w:hAnsi="Times New Roman" w:cs="Times New Roman"/>
          <w:b/>
          <w:bCs/>
          <w:i/>
          <w:iCs/>
          <w:sz w:val="24"/>
          <w:szCs w:val="24"/>
        </w:rPr>
      </w:pPr>
      <w:r w:rsidRPr="00C9731B">
        <w:rPr>
          <w:rFonts w:ascii="Times New Roman" w:hAnsi="Times New Roman" w:cs="Times New Roman"/>
          <w:b/>
          <w:bCs/>
          <w:i/>
          <w:iCs/>
          <w:sz w:val="24"/>
          <w:szCs w:val="24"/>
        </w:rPr>
        <w:t>Probability of being a cluster trial report: 34%</w:t>
      </w:r>
    </w:p>
    <w:p w:rsidR="00F03032" w:rsidRPr="00C9731B" w:rsidRDefault="00F03032" w:rsidP="00F03032">
      <w:pPr>
        <w:spacing w:line="480" w:lineRule="auto"/>
        <w:rPr>
          <w:rFonts w:ascii="Times New Roman" w:hAnsi="Times New Roman" w:cs="Times New Roman"/>
          <w:b/>
          <w:bCs/>
          <w:i/>
          <w:iCs/>
          <w:sz w:val="24"/>
          <w:szCs w:val="24"/>
        </w:rPr>
      </w:pPr>
      <w:r w:rsidRPr="00C9731B">
        <w:rPr>
          <w:rFonts w:ascii="Times New Roman" w:hAnsi="Times New Roman" w:cs="Times New Roman"/>
          <w:b/>
          <w:bCs/>
          <w:i/>
          <w:iCs/>
          <w:sz w:val="24"/>
          <w:szCs w:val="24"/>
        </w:rPr>
        <w:t>Title:</w:t>
      </w:r>
      <w:r w:rsidRPr="00C9731B">
        <w:t xml:space="preserve"> </w:t>
      </w:r>
      <w:r w:rsidRPr="00C9731B">
        <w:rPr>
          <w:rFonts w:ascii="Times New Roman" w:hAnsi="Times New Roman" w:cs="Times New Roman"/>
          <w:sz w:val="24"/>
          <w:szCs w:val="24"/>
        </w:rPr>
        <w:t>Summer jobs reduce violence among disadvantaged youth.</w:t>
      </w:r>
    </w:p>
    <w:p w:rsidR="00F03032" w:rsidRPr="00C9731B" w:rsidRDefault="00F03032" w:rsidP="00F03032">
      <w:pPr>
        <w:spacing w:line="480" w:lineRule="auto"/>
        <w:rPr>
          <w:rFonts w:ascii="Times New Roman" w:hAnsi="Times New Roman" w:cs="Times New Roman"/>
          <w:b/>
          <w:bCs/>
          <w:i/>
          <w:iCs/>
          <w:sz w:val="24"/>
          <w:szCs w:val="24"/>
        </w:rPr>
      </w:pPr>
      <w:r w:rsidRPr="00C9731B">
        <w:rPr>
          <w:rFonts w:ascii="Times New Roman" w:hAnsi="Times New Roman" w:cs="Times New Roman"/>
          <w:b/>
          <w:bCs/>
          <w:i/>
          <w:iCs/>
          <w:sz w:val="24"/>
          <w:szCs w:val="24"/>
        </w:rPr>
        <w:t>Abstract:</w:t>
      </w:r>
      <w:r w:rsidRPr="00C9731B">
        <w:t xml:space="preserve"> </w:t>
      </w:r>
      <w:r w:rsidRPr="00C9731B">
        <w:rPr>
          <w:rFonts w:ascii="Times New Roman" w:hAnsi="Times New Roman" w:cs="Times New Roman"/>
          <w:sz w:val="24"/>
          <w:szCs w:val="24"/>
        </w:rPr>
        <w:t>Every day, acts of violence injure more than 6000 people in the United States. Despite decades of social science arguing that joblessness among disadvantaged youth is a key cause of violent offending, programs to remedy youth unemployment do not consistently reduce delinquency. This study tests whether summer jobs, which shift focus from remediation to prevention, can reduce crime. In a randomized controlled trial among 1634 disadvantaged high school youth in Chicago, assignment to a summer jobs program decreases violence by 43% over 16 months (3.95 fewer violent-crime arrests per 100 youth). The decline occurs largely after the 8-week intervention ends. The results suggest the promise of using low-cost, well-targeted programs to generate meaningful behavioral change, even with a problem as complex as youth violence. Copyright © 2014, American Association for the Advancement of Science.</w:t>
      </w:r>
    </w:p>
    <w:p w:rsidR="00F03032" w:rsidRPr="00C9731B" w:rsidRDefault="00F03032" w:rsidP="00F03032">
      <w:pPr>
        <w:rPr>
          <w:rFonts w:ascii="Times New Roman" w:hAnsi="Times New Roman" w:cs="Times New Roman"/>
          <w:b/>
          <w:bCs/>
          <w:sz w:val="24"/>
          <w:szCs w:val="24"/>
          <w:u w:val="single"/>
        </w:rPr>
      </w:pPr>
      <w:bookmarkStart w:id="13" w:name="Appendix8B"/>
    </w:p>
    <w:p w:rsidR="00F03032" w:rsidRPr="00C9731B" w:rsidRDefault="00F03032" w:rsidP="00F03032">
      <w:pPr>
        <w:rPr>
          <w:rFonts w:ascii="Times New Roman" w:hAnsi="Times New Roman" w:cs="Times New Roman"/>
          <w:b/>
          <w:bCs/>
          <w:sz w:val="24"/>
          <w:szCs w:val="24"/>
          <w:u w:val="single"/>
        </w:rPr>
      </w:pPr>
      <w:r w:rsidRPr="00C9731B">
        <w:rPr>
          <w:rFonts w:ascii="Times New Roman" w:hAnsi="Times New Roman" w:cs="Times New Roman"/>
          <w:b/>
          <w:bCs/>
          <w:sz w:val="24"/>
          <w:szCs w:val="24"/>
          <w:u w:val="single"/>
        </w:rPr>
        <w:br w:type="page"/>
      </w:r>
    </w:p>
    <w:p w:rsidR="00F03032" w:rsidRPr="00C9731B" w:rsidRDefault="00F03032" w:rsidP="00F03032">
      <w:pPr>
        <w:spacing w:line="480" w:lineRule="auto"/>
        <w:rPr>
          <w:rFonts w:ascii="Times New Roman" w:hAnsi="Times New Roman" w:cs="Times New Roman"/>
          <w:b/>
          <w:bCs/>
          <w:sz w:val="24"/>
          <w:szCs w:val="24"/>
          <w:u w:val="single"/>
        </w:rPr>
      </w:pPr>
      <w:r w:rsidRPr="00C9731B">
        <w:rPr>
          <w:rFonts w:ascii="Times New Roman" w:hAnsi="Times New Roman" w:cs="Times New Roman"/>
          <w:b/>
          <w:bCs/>
          <w:sz w:val="24"/>
          <w:szCs w:val="24"/>
          <w:u w:val="single"/>
        </w:rPr>
        <w:t>Example 3</w:t>
      </w:r>
    </w:p>
    <w:p w:rsidR="00F03032" w:rsidRPr="00C9731B" w:rsidRDefault="00F03032" w:rsidP="00F03032">
      <w:pPr>
        <w:spacing w:line="480" w:lineRule="auto"/>
        <w:rPr>
          <w:rFonts w:ascii="Times New Roman" w:hAnsi="Times New Roman" w:cs="Times New Roman"/>
          <w:b/>
          <w:bCs/>
          <w:i/>
          <w:iCs/>
          <w:sz w:val="24"/>
          <w:szCs w:val="24"/>
        </w:rPr>
      </w:pPr>
      <w:r w:rsidRPr="00C9731B">
        <w:rPr>
          <w:rFonts w:ascii="Times New Roman" w:hAnsi="Times New Roman" w:cs="Times New Roman"/>
          <w:b/>
          <w:bCs/>
          <w:i/>
          <w:iCs/>
          <w:sz w:val="24"/>
          <w:szCs w:val="24"/>
        </w:rPr>
        <w:t xml:space="preserve">True classification: </w:t>
      </w:r>
      <w:r w:rsidRPr="00C9731B">
        <w:rPr>
          <w:rFonts w:ascii="Times New Roman" w:hAnsi="Times New Roman" w:cs="Times New Roman"/>
          <w:sz w:val="24"/>
          <w:szCs w:val="24"/>
        </w:rPr>
        <w:t>Not a CRT report</w:t>
      </w:r>
    </w:p>
    <w:p w:rsidR="00F03032" w:rsidRPr="00C9731B" w:rsidRDefault="00F03032" w:rsidP="00F03032">
      <w:pPr>
        <w:spacing w:line="480" w:lineRule="auto"/>
        <w:rPr>
          <w:rFonts w:ascii="Times New Roman" w:hAnsi="Times New Roman" w:cs="Times New Roman"/>
          <w:b/>
          <w:bCs/>
          <w:i/>
          <w:iCs/>
          <w:sz w:val="24"/>
          <w:szCs w:val="24"/>
        </w:rPr>
      </w:pPr>
      <w:r w:rsidRPr="00C9731B">
        <w:rPr>
          <w:rFonts w:ascii="Times New Roman" w:hAnsi="Times New Roman" w:cs="Times New Roman"/>
          <w:b/>
          <w:bCs/>
          <w:i/>
          <w:iCs/>
          <w:sz w:val="24"/>
          <w:szCs w:val="24"/>
        </w:rPr>
        <w:t xml:space="preserve">Probability of being a cluster trial report: </w:t>
      </w:r>
      <w:r w:rsidRPr="00C9731B">
        <w:rPr>
          <w:rFonts w:ascii="Times New Roman" w:hAnsi="Times New Roman" w:cs="Times New Roman"/>
          <w:sz w:val="24"/>
          <w:szCs w:val="24"/>
        </w:rPr>
        <w:t>54%</w:t>
      </w:r>
    </w:p>
    <w:p w:rsidR="00F03032" w:rsidRPr="00C9731B" w:rsidRDefault="00F03032" w:rsidP="00F03032">
      <w:pPr>
        <w:spacing w:line="480" w:lineRule="auto"/>
        <w:rPr>
          <w:rFonts w:ascii="Times New Roman" w:hAnsi="Times New Roman" w:cs="Times New Roman"/>
          <w:b/>
          <w:bCs/>
          <w:i/>
          <w:iCs/>
          <w:sz w:val="24"/>
          <w:szCs w:val="24"/>
        </w:rPr>
      </w:pPr>
      <w:r w:rsidRPr="00C9731B">
        <w:rPr>
          <w:rFonts w:ascii="Times New Roman" w:hAnsi="Times New Roman" w:cs="Times New Roman"/>
          <w:b/>
          <w:bCs/>
          <w:i/>
          <w:iCs/>
          <w:sz w:val="24"/>
          <w:szCs w:val="24"/>
        </w:rPr>
        <w:t>Title:</w:t>
      </w:r>
      <w:r w:rsidRPr="00C9731B">
        <w:t xml:space="preserve"> </w:t>
      </w:r>
      <w:r w:rsidRPr="00C9731B">
        <w:rPr>
          <w:rFonts w:ascii="Times New Roman" w:hAnsi="Times New Roman" w:cs="Times New Roman"/>
          <w:sz w:val="24"/>
          <w:szCs w:val="24"/>
        </w:rPr>
        <w:t>The Chinese community smoking cessation project: a community sensitive intervention trial.</w:t>
      </w:r>
    </w:p>
    <w:p w:rsidR="00F03032" w:rsidRPr="00C9731B" w:rsidRDefault="00F03032" w:rsidP="00F03032">
      <w:pPr>
        <w:spacing w:line="480" w:lineRule="auto"/>
        <w:rPr>
          <w:rFonts w:ascii="Times New Roman" w:hAnsi="Times New Roman" w:cs="Times New Roman"/>
          <w:b/>
          <w:bCs/>
          <w:i/>
          <w:iCs/>
          <w:sz w:val="24"/>
          <w:szCs w:val="24"/>
        </w:rPr>
      </w:pPr>
      <w:r w:rsidRPr="00C9731B">
        <w:rPr>
          <w:rFonts w:ascii="Times New Roman" w:hAnsi="Times New Roman" w:cs="Times New Roman"/>
          <w:b/>
          <w:bCs/>
          <w:i/>
          <w:iCs/>
          <w:sz w:val="24"/>
          <w:szCs w:val="24"/>
        </w:rPr>
        <w:t>Abstract:</w:t>
      </w:r>
      <w:r w:rsidRPr="00C9731B">
        <w:t xml:space="preserve"> </w:t>
      </w:r>
      <w:r w:rsidRPr="00C9731B">
        <w:rPr>
          <w:rFonts w:ascii="Times New Roman" w:hAnsi="Times New Roman" w:cs="Times New Roman"/>
          <w:sz w:val="24"/>
          <w:szCs w:val="24"/>
        </w:rPr>
        <w:t>This paper describes (1) the design, methods and baseline data of the first smoking cessation clinical trial for Chinese Americans with medical conditions - Chinese Community Smoking Cessation Project (CCSCP); (2) the collaborative process between researchers and the Chinese community; and (3) the barriers and facilitators of implementing the study. CCSCP was a culturally tailored, randomized, smoking cessation trial testing the efficacy of an intensive (physician advice, in-person counseling with nicotine replacement therapy, 5 telephone calls) compared to a minimal (physician advice and self-help manual) intervention. The study applied a community-sensitive research method involving community members in all phases of the research process in San Francisco Bay Area during 2001-2007. CCSCP recruited 464 smokers from health care facilities (79%) located in Chinese neighborhoods and through Chinese language media (21%). Baseline assessments and interventions were conducted in-person using translated and tested questionnaire and intervention materials. The majority of the participants were men (91%) with a mean age of 58.3 years, foreign born (98%), with less than high school education (58%), spoke no English (42%) and in non-skilled or semi-skilled occupations (60%) with &lt;$20,000 household income (51%). Participants smoked regularly on an average 38.6 +/- 17 years, smoked 9.1 +/- 8 cigarettes per day and 85% smoked daily. Cultural tailoring of recruitment methods and intervention design led to successful enrollment and retention of participants, overcoming barriers faced by the participants. Community sensitive collaborative process facilitated implementation of study protocol in community health care settings.</w:t>
      </w:r>
    </w:p>
    <w:p w:rsidR="00F03032" w:rsidRPr="00C9731B" w:rsidRDefault="00F03032" w:rsidP="00F03032">
      <w:pPr>
        <w:rPr>
          <w:rFonts w:ascii="Times New Roman" w:hAnsi="Times New Roman" w:cs="Times New Roman"/>
          <w:b/>
          <w:bCs/>
          <w:sz w:val="24"/>
          <w:szCs w:val="24"/>
          <w:u w:val="single"/>
        </w:rPr>
      </w:pPr>
      <w:r w:rsidRPr="00C9731B">
        <w:rPr>
          <w:rFonts w:ascii="Times New Roman" w:hAnsi="Times New Roman" w:cs="Times New Roman"/>
          <w:b/>
          <w:bCs/>
          <w:sz w:val="24"/>
          <w:szCs w:val="24"/>
          <w:u w:val="single"/>
        </w:rPr>
        <w:br w:type="page"/>
      </w:r>
    </w:p>
    <w:p w:rsidR="00F03032" w:rsidRPr="00C9731B" w:rsidRDefault="00F03032" w:rsidP="00F03032">
      <w:pPr>
        <w:pStyle w:val="ListParagraph"/>
        <w:numPr>
          <w:ilvl w:val="0"/>
          <w:numId w:val="2"/>
        </w:numPr>
        <w:spacing w:line="480" w:lineRule="auto"/>
        <w:rPr>
          <w:rFonts w:ascii="Times New Roman" w:hAnsi="Times New Roman" w:cs="Times New Roman"/>
          <w:b/>
          <w:bCs/>
          <w:sz w:val="24"/>
          <w:szCs w:val="24"/>
          <w:u w:val="single"/>
        </w:rPr>
      </w:pPr>
      <w:r w:rsidRPr="00C9731B">
        <w:rPr>
          <w:rFonts w:ascii="Times New Roman" w:hAnsi="Times New Roman" w:cs="Times New Roman"/>
          <w:b/>
          <w:bCs/>
          <w:sz w:val="24"/>
          <w:szCs w:val="24"/>
          <w:u w:val="single"/>
        </w:rPr>
        <w:t>Example 4</w:t>
      </w:r>
    </w:p>
    <w:bookmarkEnd w:id="13"/>
    <w:p w:rsidR="00F03032" w:rsidRPr="00C9731B" w:rsidRDefault="00F03032" w:rsidP="00F03032">
      <w:pPr>
        <w:spacing w:line="480" w:lineRule="auto"/>
        <w:rPr>
          <w:rFonts w:ascii="Times New Roman" w:hAnsi="Times New Roman" w:cs="Times New Roman"/>
          <w:b/>
          <w:bCs/>
          <w:i/>
          <w:iCs/>
          <w:sz w:val="24"/>
          <w:szCs w:val="24"/>
        </w:rPr>
      </w:pPr>
      <w:r w:rsidRPr="00C9731B">
        <w:rPr>
          <w:rFonts w:ascii="Times New Roman" w:hAnsi="Times New Roman" w:cs="Times New Roman"/>
          <w:b/>
          <w:bCs/>
          <w:i/>
          <w:iCs/>
          <w:sz w:val="24"/>
          <w:szCs w:val="24"/>
        </w:rPr>
        <w:t xml:space="preserve">True classification: </w:t>
      </w:r>
      <w:r w:rsidRPr="00C9731B">
        <w:rPr>
          <w:rFonts w:ascii="Times New Roman" w:hAnsi="Times New Roman" w:cs="Times New Roman"/>
          <w:sz w:val="24"/>
          <w:szCs w:val="24"/>
        </w:rPr>
        <w:t>CRT Report</w:t>
      </w:r>
    </w:p>
    <w:p w:rsidR="00F03032" w:rsidRPr="00C9731B" w:rsidRDefault="00F03032" w:rsidP="00F03032">
      <w:pPr>
        <w:spacing w:line="480" w:lineRule="auto"/>
        <w:rPr>
          <w:rFonts w:ascii="Times New Roman" w:hAnsi="Times New Roman" w:cs="Times New Roman"/>
          <w:b/>
          <w:bCs/>
          <w:i/>
          <w:iCs/>
          <w:sz w:val="24"/>
          <w:szCs w:val="24"/>
        </w:rPr>
      </w:pPr>
      <w:r w:rsidRPr="00C9731B">
        <w:rPr>
          <w:rFonts w:ascii="Times New Roman" w:hAnsi="Times New Roman" w:cs="Times New Roman"/>
          <w:b/>
          <w:bCs/>
          <w:i/>
          <w:iCs/>
          <w:sz w:val="24"/>
          <w:szCs w:val="24"/>
        </w:rPr>
        <w:t>Probability of being a cluster trial report:</w:t>
      </w:r>
      <w:r w:rsidRPr="00C9731B">
        <w:rPr>
          <w:rFonts w:ascii="Times New Roman" w:hAnsi="Times New Roman" w:cs="Times New Roman"/>
          <w:sz w:val="24"/>
          <w:szCs w:val="24"/>
        </w:rPr>
        <w:t xml:space="preserve"> 2%</w:t>
      </w:r>
    </w:p>
    <w:p w:rsidR="00F03032" w:rsidRPr="00C9731B" w:rsidRDefault="00F03032" w:rsidP="00F03032">
      <w:pPr>
        <w:spacing w:line="480" w:lineRule="auto"/>
        <w:rPr>
          <w:rFonts w:ascii="Times New Roman" w:hAnsi="Times New Roman" w:cs="Times New Roman"/>
          <w:sz w:val="24"/>
          <w:szCs w:val="24"/>
        </w:rPr>
      </w:pPr>
      <w:r w:rsidRPr="00C9731B">
        <w:rPr>
          <w:rFonts w:ascii="Times New Roman" w:hAnsi="Times New Roman" w:cs="Times New Roman"/>
          <w:b/>
          <w:bCs/>
          <w:i/>
          <w:iCs/>
          <w:sz w:val="24"/>
          <w:szCs w:val="24"/>
        </w:rPr>
        <w:t>Title:</w:t>
      </w:r>
      <w:r w:rsidRPr="00C9731B">
        <w:t xml:space="preserve"> </w:t>
      </w:r>
      <w:r w:rsidRPr="00C9731B">
        <w:rPr>
          <w:rFonts w:ascii="Times New Roman" w:hAnsi="Times New Roman" w:cs="Times New Roman"/>
          <w:sz w:val="24"/>
          <w:szCs w:val="24"/>
        </w:rPr>
        <w:t>Effect of fluoride-releasing resin composite in white spot lesions prevention: a single-centre, split-mouth, randomized controlled trial.</w:t>
      </w:r>
    </w:p>
    <w:p w:rsidR="00F03032" w:rsidRPr="00C9731B" w:rsidRDefault="00F03032" w:rsidP="00F03032">
      <w:pPr>
        <w:spacing w:line="480" w:lineRule="auto"/>
        <w:rPr>
          <w:rFonts w:ascii="Times New Roman" w:hAnsi="Times New Roman" w:cs="Times New Roman"/>
          <w:b/>
          <w:bCs/>
          <w:i/>
          <w:iCs/>
          <w:sz w:val="24"/>
          <w:szCs w:val="24"/>
        </w:rPr>
      </w:pPr>
      <w:r w:rsidRPr="00C9731B">
        <w:rPr>
          <w:rFonts w:ascii="Times New Roman" w:hAnsi="Times New Roman" w:cs="Times New Roman"/>
          <w:b/>
          <w:bCs/>
          <w:i/>
          <w:iCs/>
          <w:sz w:val="24"/>
          <w:szCs w:val="24"/>
        </w:rPr>
        <w:t xml:space="preserve">Abstract: </w:t>
      </w:r>
    </w:p>
    <w:p w:rsidR="00F03032" w:rsidRPr="00C9731B" w:rsidRDefault="00F03032" w:rsidP="00F03032">
      <w:pPr>
        <w:spacing w:line="480" w:lineRule="auto"/>
        <w:rPr>
          <w:rFonts w:ascii="Times New Roman" w:hAnsi="Times New Roman" w:cs="Times New Roman"/>
          <w:sz w:val="24"/>
          <w:szCs w:val="24"/>
        </w:rPr>
      </w:pPr>
      <w:r w:rsidRPr="00C9731B">
        <w:rPr>
          <w:rFonts w:ascii="Times New Roman" w:hAnsi="Times New Roman" w:cs="Times New Roman"/>
          <w:sz w:val="24"/>
          <w:szCs w:val="24"/>
        </w:rPr>
        <w:t>Introduction: The objective of this two-arm split-mouth randomized trial, was to evaluate the ability of fluoride-releasing resin composite to prevent demineralization and white spot lesion (WSL) formation, during orthodontic treatment with fixed appliances.</w:t>
      </w:r>
    </w:p>
    <w:p w:rsidR="00F03032" w:rsidRPr="00C9731B" w:rsidRDefault="00F03032" w:rsidP="00F03032">
      <w:pPr>
        <w:spacing w:line="480" w:lineRule="auto"/>
        <w:rPr>
          <w:rFonts w:ascii="Times New Roman" w:hAnsi="Times New Roman" w:cs="Times New Roman"/>
          <w:sz w:val="24"/>
          <w:szCs w:val="24"/>
        </w:rPr>
      </w:pPr>
      <w:r w:rsidRPr="00C9731B">
        <w:rPr>
          <w:rFonts w:ascii="Times New Roman" w:hAnsi="Times New Roman" w:cs="Times New Roman"/>
          <w:sz w:val="24"/>
          <w:szCs w:val="24"/>
        </w:rPr>
        <w:t>Methods: Patients needing comprehensive orthodontic treatment were randomly allocated into two groups, according to the half split-mouth technique. This trial examined a total of 300 teeth in each group: the control group, in which brackets were fixed with a non-fluoride-containing adhesive resin; and the intervention group, in which brackets were fixed with a fluoride-containing adhesive resin. Eligibility criteria included Class I malocclusion in the permanent dentition, adequate oral hygiene and no missing teeth, active caries, enamel demineralization, fluorosis staining, or heavy restorations. The primary outcome was the formation of WSLs. Randomization was achieved using a computer-generated random number table; blinding of the patients, assessor, orthodontist and data analysist were achieved. The patients were followed for twelve months, during which time their teeth were checked every three months. To investigate the differences in frequencies and ranks of demineralization and WSL formation between the two groups, odds ratios were computed using mixed modelling (to compensate for the clustered nature of the data) with intervention as a fixed effect and patient as a random effect.</w:t>
      </w:r>
    </w:p>
    <w:p w:rsidR="00F03032" w:rsidRPr="00C9731B" w:rsidRDefault="00F03032" w:rsidP="00F03032">
      <w:pPr>
        <w:spacing w:line="480" w:lineRule="auto"/>
        <w:rPr>
          <w:rFonts w:ascii="Times New Roman" w:hAnsi="Times New Roman" w:cs="Times New Roman"/>
          <w:sz w:val="24"/>
          <w:szCs w:val="24"/>
        </w:rPr>
      </w:pPr>
      <w:r w:rsidRPr="00C9731B">
        <w:rPr>
          <w:rFonts w:ascii="Times New Roman" w:hAnsi="Times New Roman" w:cs="Times New Roman"/>
          <w:sz w:val="24"/>
          <w:szCs w:val="24"/>
        </w:rPr>
        <w:t>Results: Thirty-four patients (ages, 13-25 years; mean age, 17.6) were randomized into a 1:1 ratio, though four patients dropped out before the start of the treatment. The percentage of the teeth showing the effects of demineralization and WSL formation, increased from 6.3% to 15% for the control group after three and twelve months, respectively, and from 3% to 16.3% for the study group, after three to twelve months, respectively. There were no significant differences between the two groups and no interaction between time and treatment group in the visual inspections (OR 0.79; 95% CI 0.52, 1.21), in DIAGNOdent examinations (OR 0.68; 95% CI 0.43, 1.06), or in photographic images (OR 0.72; 95% CI 0.46, 1.11). No serious harm was observed during the trial.</w:t>
      </w:r>
    </w:p>
    <w:p w:rsidR="00F03032" w:rsidRPr="00C9731B" w:rsidRDefault="00F03032" w:rsidP="00F03032">
      <w:pPr>
        <w:spacing w:line="480" w:lineRule="auto"/>
        <w:rPr>
          <w:rFonts w:ascii="Times New Roman" w:hAnsi="Times New Roman" w:cs="Times New Roman"/>
          <w:sz w:val="24"/>
          <w:szCs w:val="24"/>
        </w:rPr>
      </w:pPr>
      <w:r w:rsidRPr="00C9731B">
        <w:rPr>
          <w:rFonts w:ascii="Times New Roman" w:hAnsi="Times New Roman" w:cs="Times New Roman"/>
          <w:sz w:val="24"/>
          <w:szCs w:val="24"/>
        </w:rPr>
        <w:t>Limitations: This trial was a single-centre trial, and treatment was carried out by one orthodontist.</w:t>
      </w:r>
    </w:p>
    <w:p w:rsidR="00F03032" w:rsidRPr="00C9731B" w:rsidRDefault="00F03032" w:rsidP="00F03032">
      <w:pPr>
        <w:spacing w:line="480" w:lineRule="auto"/>
        <w:rPr>
          <w:rFonts w:ascii="Times New Roman" w:hAnsi="Times New Roman" w:cs="Times New Roman"/>
          <w:sz w:val="24"/>
          <w:szCs w:val="24"/>
        </w:rPr>
      </w:pPr>
      <w:r w:rsidRPr="00C9731B">
        <w:rPr>
          <w:rFonts w:ascii="Times New Roman" w:hAnsi="Times New Roman" w:cs="Times New Roman"/>
          <w:sz w:val="24"/>
          <w:szCs w:val="24"/>
        </w:rPr>
        <w:t>Conclusions: Fluoride-containing resin adhesive does not have the desired preventive effect to prevent demineralization and WSL formation, during orthodontic treatment with fixed appliance.</w:t>
      </w:r>
    </w:p>
    <w:p w:rsidR="00F03032" w:rsidRPr="00C9731B" w:rsidRDefault="00F03032" w:rsidP="00F03032">
      <w:pPr>
        <w:spacing w:line="480" w:lineRule="auto"/>
        <w:rPr>
          <w:rFonts w:ascii="Times New Roman" w:hAnsi="Times New Roman" w:cs="Times New Roman"/>
          <w:b/>
          <w:bCs/>
          <w:i/>
          <w:iCs/>
          <w:sz w:val="24"/>
          <w:szCs w:val="24"/>
        </w:rPr>
      </w:pPr>
    </w:p>
    <w:p w:rsidR="00F03032" w:rsidRPr="00C9731B" w:rsidRDefault="00F03032" w:rsidP="00F03032">
      <w:pPr>
        <w:spacing w:line="480" w:lineRule="auto"/>
        <w:rPr>
          <w:rFonts w:ascii="Times New Roman" w:hAnsi="Times New Roman" w:cs="Times New Roman"/>
          <w:b/>
          <w:bCs/>
          <w:sz w:val="24"/>
          <w:szCs w:val="24"/>
          <w:u w:val="single"/>
        </w:rPr>
      </w:pPr>
    </w:p>
    <w:p w:rsidR="00F03032" w:rsidRPr="00C9731B" w:rsidRDefault="00F03032" w:rsidP="00F03032">
      <w:pPr>
        <w:rPr>
          <w:rFonts w:ascii="Times New Roman" w:hAnsi="Times New Roman" w:cs="Times New Roman"/>
          <w:b/>
          <w:bCs/>
          <w:i/>
          <w:iCs/>
          <w:sz w:val="24"/>
          <w:szCs w:val="24"/>
        </w:rPr>
      </w:pPr>
      <w:r w:rsidRPr="00C9731B">
        <w:rPr>
          <w:rFonts w:ascii="Times New Roman" w:hAnsi="Times New Roman" w:cs="Times New Roman"/>
          <w:b/>
          <w:bCs/>
          <w:i/>
          <w:iCs/>
          <w:sz w:val="24"/>
          <w:szCs w:val="24"/>
        </w:rPr>
        <w:br w:type="page"/>
      </w:r>
    </w:p>
    <w:p w:rsidR="00F03032" w:rsidRPr="00C9731B" w:rsidRDefault="00F03032" w:rsidP="00F03032">
      <w:pPr>
        <w:spacing w:line="480" w:lineRule="auto"/>
        <w:rPr>
          <w:rFonts w:ascii="Times New Roman" w:hAnsi="Times New Roman" w:cs="Times New Roman"/>
          <w:b/>
          <w:bCs/>
          <w:sz w:val="24"/>
          <w:szCs w:val="24"/>
          <w:u w:val="single"/>
        </w:rPr>
      </w:pPr>
      <w:r w:rsidRPr="00C9731B">
        <w:rPr>
          <w:rFonts w:ascii="Times New Roman" w:hAnsi="Times New Roman" w:cs="Times New Roman"/>
          <w:b/>
          <w:bCs/>
          <w:sz w:val="24"/>
          <w:szCs w:val="24"/>
          <w:u w:val="single"/>
        </w:rPr>
        <w:t>Example 5</w:t>
      </w:r>
    </w:p>
    <w:p w:rsidR="00F03032" w:rsidRPr="00C9731B" w:rsidRDefault="00F03032" w:rsidP="00F03032">
      <w:pPr>
        <w:spacing w:line="480" w:lineRule="auto"/>
        <w:rPr>
          <w:rFonts w:ascii="Times New Roman" w:hAnsi="Times New Roman" w:cs="Times New Roman"/>
          <w:b/>
          <w:bCs/>
          <w:i/>
          <w:iCs/>
          <w:sz w:val="24"/>
          <w:szCs w:val="24"/>
        </w:rPr>
      </w:pPr>
      <w:r w:rsidRPr="00C9731B">
        <w:rPr>
          <w:rFonts w:ascii="Times New Roman" w:hAnsi="Times New Roman" w:cs="Times New Roman"/>
          <w:b/>
          <w:bCs/>
          <w:i/>
          <w:iCs/>
          <w:sz w:val="24"/>
          <w:szCs w:val="24"/>
        </w:rPr>
        <w:t xml:space="preserve">True classification: </w:t>
      </w:r>
      <w:r w:rsidRPr="00C9731B">
        <w:rPr>
          <w:rFonts w:ascii="Times New Roman" w:hAnsi="Times New Roman" w:cs="Times New Roman"/>
          <w:sz w:val="24"/>
          <w:szCs w:val="24"/>
        </w:rPr>
        <w:t>CRT Report</w:t>
      </w:r>
    </w:p>
    <w:p w:rsidR="00F03032" w:rsidRPr="00C9731B" w:rsidRDefault="00F03032" w:rsidP="00F03032">
      <w:pPr>
        <w:spacing w:line="480" w:lineRule="auto"/>
        <w:rPr>
          <w:rFonts w:ascii="Times New Roman" w:hAnsi="Times New Roman" w:cs="Times New Roman"/>
          <w:b/>
          <w:bCs/>
          <w:i/>
          <w:iCs/>
          <w:sz w:val="24"/>
          <w:szCs w:val="24"/>
        </w:rPr>
      </w:pPr>
      <w:r w:rsidRPr="00C9731B">
        <w:rPr>
          <w:rFonts w:ascii="Times New Roman" w:hAnsi="Times New Roman" w:cs="Times New Roman"/>
          <w:b/>
          <w:bCs/>
          <w:i/>
          <w:iCs/>
          <w:sz w:val="24"/>
          <w:szCs w:val="24"/>
        </w:rPr>
        <w:t xml:space="preserve">Probability of being a cluster trial report: </w:t>
      </w:r>
      <w:r w:rsidRPr="00C9731B">
        <w:rPr>
          <w:rFonts w:ascii="Times New Roman" w:hAnsi="Times New Roman" w:cs="Times New Roman"/>
          <w:sz w:val="24"/>
          <w:szCs w:val="24"/>
        </w:rPr>
        <w:t>2%</w:t>
      </w:r>
    </w:p>
    <w:p w:rsidR="00F03032" w:rsidRPr="00C9731B" w:rsidRDefault="00F03032" w:rsidP="00F03032">
      <w:pPr>
        <w:spacing w:line="480" w:lineRule="auto"/>
        <w:rPr>
          <w:rFonts w:ascii="Times New Roman" w:hAnsi="Times New Roman" w:cs="Times New Roman"/>
          <w:sz w:val="24"/>
          <w:szCs w:val="24"/>
        </w:rPr>
      </w:pPr>
      <w:r w:rsidRPr="00C9731B">
        <w:rPr>
          <w:rFonts w:ascii="Times New Roman" w:hAnsi="Times New Roman" w:cs="Times New Roman"/>
          <w:b/>
          <w:bCs/>
          <w:i/>
          <w:iCs/>
          <w:sz w:val="24"/>
          <w:szCs w:val="24"/>
        </w:rPr>
        <w:t>Title:</w:t>
      </w:r>
      <w:r w:rsidRPr="00C9731B">
        <w:t xml:space="preserve"> </w:t>
      </w:r>
      <w:r w:rsidRPr="00C9731B">
        <w:rPr>
          <w:rFonts w:ascii="Times New Roman" w:hAnsi="Times New Roman" w:cs="Times New Roman"/>
          <w:sz w:val="24"/>
          <w:szCs w:val="24"/>
        </w:rPr>
        <w:t>The role of friends' disruptive behavior in the development of children's tobacco experimentation: results from a preventive intervention study.</w:t>
      </w:r>
    </w:p>
    <w:p w:rsidR="00F03032" w:rsidRPr="00C9731B" w:rsidRDefault="00F03032" w:rsidP="00F03032">
      <w:pPr>
        <w:spacing w:line="480" w:lineRule="auto"/>
        <w:rPr>
          <w:rFonts w:ascii="Times New Roman" w:hAnsi="Times New Roman" w:cs="Times New Roman"/>
          <w:b/>
          <w:bCs/>
          <w:i/>
          <w:iCs/>
          <w:sz w:val="24"/>
          <w:szCs w:val="24"/>
        </w:rPr>
      </w:pPr>
      <w:r w:rsidRPr="00C9731B">
        <w:rPr>
          <w:rFonts w:ascii="Times New Roman" w:hAnsi="Times New Roman" w:cs="Times New Roman"/>
          <w:b/>
          <w:bCs/>
          <w:i/>
          <w:iCs/>
          <w:sz w:val="24"/>
          <w:szCs w:val="24"/>
        </w:rPr>
        <w:t>Abstract:</w:t>
      </w:r>
    </w:p>
    <w:p w:rsidR="00F03032" w:rsidRPr="00C9731B" w:rsidRDefault="00F03032" w:rsidP="00F03032">
      <w:pPr>
        <w:spacing w:line="480" w:lineRule="auto"/>
        <w:rPr>
          <w:rFonts w:ascii="Times New Roman" w:hAnsi="Times New Roman" w:cs="Times New Roman"/>
          <w:sz w:val="24"/>
          <w:szCs w:val="24"/>
        </w:rPr>
      </w:pPr>
      <w:r w:rsidRPr="00C9731B">
        <w:rPr>
          <w:rFonts w:ascii="Times New Roman" w:hAnsi="Times New Roman" w:cs="Times New Roman"/>
          <w:sz w:val="24"/>
          <w:szCs w:val="24"/>
        </w:rPr>
        <w:t>Having friends who engage in disruptive behavior in childhood may be a risk factor for childhood tobacco experimentation. This study tested the role of friends' disruptive behavior as a mediator of the effects of a classroom based intervention on children's tobacco experimentation. 433 Children (52% males) were randomly assigned to the Good Behavior Game (GBG) intervention, a universal preventive intervention targeting disruptive behavior, and facilitating positive prosocial peer interactions. Friends' disruptive behavior was assessed from age 7-10 years. Participants ' experimentation with tobacco was assessed annually from age 10-13. Reduced rates in tobacco experimentation and friends' disruptive behavior were found among GBG children, as compared to controls. Support for friends' disruptive behavior as a mediator in the link between intervention status and tobacco experimentation was found. These results remained after controlling for friends' and parental smoking status, and child ADHD symptoms. The results support the role of friends' disruptive behavior in preadolescents' tobacco experimentation.</w:t>
      </w:r>
    </w:p>
    <w:p w:rsidR="00F03032" w:rsidRPr="00C9731B" w:rsidRDefault="00F03032" w:rsidP="00F03032">
      <w:pPr>
        <w:spacing w:line="480" w:lineRule="auto"/>
        <w:rPr>
          <w:rFonts w:ascii="Times New Roman" w:hAnsi="Times New Roman" w:cs="Times New Roman"/>
          <w:b/>
          <w:bCs/>
          <w:sz w:val="24"/>
          <w:szCs w:val="24"/>
          <w:u w:val="single"/>
        </w:rPr>
      </w:pPr>
    </w:p>
    <w:p w:rsidR="00F03032" w:rsidRPr="00C9731B" w:rsidRDefault="00F03032" w:rsidP="00F03032">
      <w:pPr>
        <w:rPr>
          <w:rFonts w:ascii="Times New Roman" w:hAnsi="Times New Roman" w:cs="Times New Roman"/>
          <w:b/>
          <w:bCs/>
          <w:i/>
          <w:iCs/>
          <w:sz w:val="24"/>
          <w:szCs w:val="24"/>
        </w:rPr>
      </w:pPr>
      <w:r w:rsidRPr="00C9731B">
        <w:rPr>
          <w:rFonts w:ascii="Times New Roman" w:hAnsi="Times New Roman" w:cs="Times New Roman"/>
          <w:b/>
          <w:bCs/>
          <w:i/>
          <w:iCs/>
          <w:sz w:val="24"/>
          <w:szCs w:val="24"/>
        </w:rPr>
        <w:br w:type="page"/>
      </w:r>
    </w:p>
    <w:p w:rsidR="00F03032" w:rsidRPr="00C9731B" w:rsidRDefault="00F03032" w:rsidP="00F03032">
      <w:pPr>
        <w:spacing w:line="480" w:lineRule="auto"/>
        <w:rPr>
          <w:rFonts w:ascii="Times New Roman" w:hAnsi="Times New Roman" w:cs="Times New Roman"/>
          <w:b/>
          <w:bCs/>
          <w:sz w:val="24"/>
          <w:szCs w:val="24"/>
          <w:u w:val="single"/>
        </w:rPr>
      </w:pPr>
      <w:r w:rsidRPr="00C9731B">
        <w:rPr>
          <w:rFonts w:ascii="Times New Roman" w:hAnsi="Times New Roman" w:cs="Times New Roman"/>
          <w:b/>
          <w:bCs/>
          <w:sz w:val="24"/>
          <w:szCs w:val="24"/>
          <w:u w:val="single"/>
        </w:rPr>
        <w:t>Example 6</w:t>
      </w:r>
    </w:p>
    <w:p w:rsidR="00F03032" w:rsidRPr="00C9731B" w:rsidRDefault="00F03032" w:rsidP="00F03032">
      <w:pPr>
        <w:spacing w:line="480" w:lineRule="auto"/>
        <w:rPr>
          <w:rFonts w:ascii="Times New Roman" w:hAnsi="Times New Roman" w:cs="Times New Roman"/>
          <w:b/>
          <w:bCs/>
          <w:i/>
          <w:iCs/>
          <w:sz w:val="24"/>
          <w:szCs w:val="24"/>
        </w:rPr>
      </w:pPr>
      <w:r w:rsidRPr="00C9731B">
        <w:rPr>
          <w:rFonts w:ascii="Times New Roman" w:hAnsi="Times New Roman" w:cs="Times New Roman"/>
          <w:b/>
          <w:bCs/>
          <w:i/>
          <w:iCs/>
          <w:sz w:val="24"/>
          <w:szCs w:val="24"/>
        </w:rPr>
        <w:t xml:space="preserve">True classification: </w:t>
      </w:r>
      <w:r w:rsidRPr="00C9731B">
        <w:rPr>
          <w:rFonts w:ascii="Times New Roman" w:hAnsi="Times New Roman" w:cs="Times New Roman"/>
          <w:sz w:val="24"/>
          <w:szCs w:val="24"/>
        </w:rPr>
        <w:t>CRT Report</w:t>
      </w:r>
    </w:p>
    <w:p w:rsidR="00F03032" w:rsidRPr="00C9731B" w:rsidRDefault="00F03032" w:rsidP="00F03032">
      <w:pPr>
        <w:spacing w:line="480" w:lineRule="auto"/>
        <w:rPr>
          <w:rFonts w:ascii="Times New Roman" w:hAnsi="Times New Roman" w:cs="Times New Roman"/>
          <w:b/>
          <w:bCs/>
          <w:i/>
          <w:iCs/>
          <w:sz w:val="24"/>
          <w:szCs w:val="24"/>
        </w:rPr>
      </w:pPr>
      <w:r w:rsidRPr="00C9731B">
        <w:rPr>
          <w:rFonts w:ascii="Times New Roman" w:hAnsi="Times New Roman" w:cs="Times New Roman"/>
          <w:b/>
          <w:bCs/>
          <w:i/>
          <w:iCs/>
          <w:sz w:val="24"/>
          <w:szCs w:val="24"/>
        </w:rPr>
        <w:t xml:space="preserve">Probability of being a cluster trial report: </w:t>
      </w:r>
      <w:r w:rsidRPr="00C9731B">
        <w:rPr>
          <w:rFonts w:ascii="Times New Roman" w:hAnsi="Times New Roman" w:cs="Times New Roman"/>
          <w:sz w:val="24"/>
          <w:szCs w:val="24"/>
        </w:rPr>
        <w:t>3%</w:t>
      </w:r>
    </w:p>
    <w:p w:rsidR="00F03032" w:rsidRPr="00C9731B" w:rsidRDefault="00F03032" w:rsidP="00F03032">
      <w:pPr>
        <w:spacing w:line="480" w:lineRule="auto"/>
        <w:rPr>
          <w:rFonts w:ascii="Times New Roman" w:hAnsi="Times New Roman" w:cs="Times New Roman"/>
          <w:sz w:val="24"/>
          <w:szCs w:val="24"/>
        </w:rPr>
      </w:pPr>
      <w:r w:rsidRPr="00C9731B">
        <w:rPr>
          <w:rFonts w:ascii="Times New Roman" w:hAnsi="Times New Roman" w:cs="Times New Roman"/>
          <w:b/>
          <w:bCs/>
          <w:i/>
          <w:iCs/>
          <w:sz w:val="24"/>
          <w:szCs w:val="24"/>
        </w:rPr>
        <w:t>Title:</w:t>
      </w:r>
      <w:r w:rsidRPr="00C9731B">
        <w:t xml:space="preserve"> The impact of an education intervention to change nurses' HIV-related knowledge and attitudes in Lithuania: a randomized controlled trial.</w:t>
      </w:r>
    </w:p>
    <w:p w:rsidR="00F03032" w:rsidRPr="00C9731B" w:rsidRDefault="00F03032" w:rsidP="00F03032">
      <w:pPr>
        <w:spacing w:line="480" w:lineRule="auto"/>
        <w:rPr>
          <w:rFonts w:ascii="Times New Roman" w:hAnsi="Times New Roman" w:cs="Times New Roman"/>
          <w:b/>
          <w:bCs/>
          <w:i/>
          <w:iCs/>
          <w:sz w:val="24"/>
          <w:szCs w:val="24"/>
        </w:rPr>
      </w:pPr>
      <w:r w:rsidRPr="00C9731B">
        <w:rPr>
          <w:rFonts w:ascii="Times New Roman" w:hAnsi="Times New Roman" w:cs="Times New Roman"/>
          <w:b/>
          <w:bCs/>
          <w:i/>
          <w:iCs/>
          <w:sz w:val="24"/>
          <w:szCs w:val="24"/>
        </w:rPr>
        <w:t>Abstract:</w:t>
      </w:r>
    </w:p>
    <w:p w:rsidR="00F03032" w:rsidRPr="00C9731B" w:rsidRDefault="00F03032" w:rsidP="00F03032">
      <w:pPr>
        <w:spacing w:line="480" w:lineRule="auto"/>
        <w:rPr>
          <w:rFonts w:ascii="Times New Roman" w:hAnsi="Times New Roman" w:cs="Times New Roman"/>
          <w:sz w:val="24"/>
          <w:szCs w:val="24"/>
        </w:rPr>
      </w:pPr>
      <w:r w:rsidRPr="00C9731B">
        <w:rPr>
          <w:rFonts w:ascii="Times New Roman" w:hAnsi="Times New Roman" w:cs="Times New Roman"/>
          <w:sz w:val="24"/>
          <w:szCs w:val="24"/>
        </w:rPr>
        <w:t>The purpose of this study was to describe the effect of an intervention program on nurses' HIV-related knowledge and attitudes in Lithuania. The program focused on HIV epidemiology, transmission, coinfections, treatment and care, risk contacts, and moral and ethical dilemmas. It was designed to increase nurses' knowledge and positive attitudes concerning HIV. The study used a randomized controlled trial design with two experimental groups ([EG]; EG1, n = 63, EG2, n= 63) and one control group (n= 59) in three Lithuanian hospitals. Data were collected using a questionnaire developed by Held (1993). The questionnaire included questions about participant demographic characteristics, knowledge, and attitudes toward those living with HIV. The education intervention, which combined a 2-day workshop and written materials, had a positive effect on the knowledge levels of nurses. However, written materials alone failed to improve nurses' knowledge or change their attitudes. Copyright © 2011 Association of Nurses in AIDS Care. Published by Elsevier Inc. All rights reserved.</w:t>
      </w:r>
    </w:p>
    <w:p w:rsidR="00A03BC7" w:rsidRPr="00F03032" w:rsidRDefault="00A03BC7" w:rsidP="00F03032"/>
    <w:sectPr w:rsidR="00A03BC7" w:rsidRPr="00F03032">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A5E7532"/>
    <w:multiLevelType w:val="hybridMultilevel"/>
    <w:tmpl w:val="467C64A6"/>
    <w:lvl w:ilvl="0" w:tplc="5C9647D6">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 w15:restartNumberingAfterBreak="0">
    <w:nsid w:val="7E7B77CE"/>
    <w:multiLevelType w:val="hybridMultilevel"/>
    <w:tmpl w:val="54525844"/>
    <w:lvl w:ilvl="0" w:tplc="A0CC2BA2">
      <w:start w:val="1"/>
      <w:numFmt w:val="decimal"/>
      <w:lvlText w:val="%1."/>
      <w:lvlJc w:val="left"/>
      <w:pPr>
        <w:ind w:left="720" w:hanging="360"/>
      </w:pPr>
      <w:rPr>
        <w:rFonts w:hint="default"/>
        <w:i w:val="0"/>
        <w:iCs w:val="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web"/>
  <w:zoom w:percent="98"/>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3BC7"/>
    <w:rsid w:val="0016198D"/>
    <w:rsid w:val="003E54F6"/>
    <w:rsid w:val="00A03BC7"/>
    <w:rsid w:val="00F030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B2024B"/>
  <w15:chartTrackingRefBased/>
  <w15:docId w15:val="{AF6F9111-0C30-4A37-8EFE-C74C020E32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next w:val="Normal"/>
    <w:link w:val="Heading2Char"/>
    <w:uiPriority w:val="9"/>
    <w:unhideWhenUsed/>
    <w:qFormat/>
    <w:rsid w:val="00F03032"/>
    <w:pPr>
      <w:keepNext/>
      <w:keepLines/>
      <w:spacing w:before="40" w:after="0"/>
      <w:outlineLvl w:val="1"/>
    </w:pPr>
    <w:rPr>
      <w:rFonts w:asciiTheme="majorHAnsi" w:eastAsiaTheme="majorEastAsia" w:hAnsiTheme="majorHAnsi" w:cstheme="majorBidi"/>
      <w:color w:val="2E74B5" w:themeColor="accent1" w:themeShade="BF"/>
      <w:sz w:val="26"/>
      <w:szCs w:val="26"/>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F03032"/>
    <w:rPr>
      <w:rFonts w:asciiTheme="majorHAnsi" w:eastAsiaTheme="majorEastAsia" w:hAnsiTheme="majorHAnsi" w:cstheme="majorBidi"/>
      <w:color w:val="2E74B5" w:themeColor="accent1" w:themeShade="BF"/>
      <w:sz w:val="26"/>
      <w:szCs w:val="26"/>
      <w:lang w:val="en-CA"/>
    </w:rPr>
  </w:style>
  <w:style w:type="paragraph" w:styleId="ListParagraph">
    <w:name w:val="List Paragraph"/>
    <w:basedOn w:val="Normal"/>
    <w:uiPriority w:val="34"/>
    <w:qFormat/>
    <w:rsid w:val="00F03032"/>
    <w:pPr>
      <w:ind w:left="720"/>
      <w:contextualSpacing/>
    </w:pPr>
    <w:rPr>
      <w:lang w:val="en-CA"/>
    </w:rPr>
  </w:style>
  <w:style w:type="character" w:styleId="Hyperlink">
    <w:name w:val="Hyperlink"/>
    <w:basedOn w:val="DefaultParagraphFont"/>
    <w:uiPriority w:val="99"/>
    <w:unhideWhenUsed/>
    <w:rsid w:val="00F03032"/>
    <w:rPr>
      <w:color w:val="0563C1" w:themeColor="hyperlink"/>
      <w:u w:val="single"/>
    </w:rPr>
  </w:style>
  <w:style w:type="paragraph" w:styleId="NoSpacing">
    <w:name w:val="No Spacing"/>
    <w:link w:val="NoSpacingChar"/>
    <w:uiPriority w:val="1"/>
    <w:qFormat/>
    <w:rsid w:val="00F03032"/>
    <w:pPr>
      <w:spacing w:after="0" w:line="240" w:lineRule="auto"/>
    </w:pPr>
    <w:rPr>
      <w:lang w:val="en-CA"/>
    </w:rPr>
  </w:style>
  <w:style w:type="table" w:styleId="TableGrid">
    <w:name w:val="Table Grid"/>
    <w:basedOn w:val="TableNormal"/>
    <w:uiPriority w:val="39"/>
    <w:rsid w:val="00F03032"/>
    <w:pPr>
      <w:spacing w:after="0" w:line="240" w:lineRule="auto"/>
    </w:pPr>
    <w:rPr>
      <w:lang w:val="en-C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SpacingChar">
    <w:name w:val="No Spacing Char"/>
    <w:basedOn w:val="DefaultParagraphFont"/>
    <w:link w:val="NoSpacing"/>
    <w:uiPriority w:val="1"/>
    <w:rsid w:val="00F03032"/>
    <w:rPr>
      <w:lang w:val="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tiff"/><Relationship Id="rId5" Type="http://schemas.openxmlformats.org/officeDocument/2006/relationships/image" Target="media/image1.tiff"/><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136</TotalTime>
  <Pages>1</Pages>
  <Words>7224</Words>
  <Characters>41181</Characters>
  <Application>Microsoft Office Word</Application>
  <DocSecurity>0</DocSecurity>
  <Lines>343</Lines>
  <Paragraphs>96</Paragraphs>
  <ScaleCrop>false</ScaleCrop>
  <HeadingPairs>
    <vt:vector size="2" baseType="variant">
      <vt:variant>
        <vt:lpstr>Title</vt:lpstr>
      </vt:variant>
      <vt:variant>
        <vt:i4>1</vt:i4>
      </vt:variant>
    </vt:vector>
  </HeadingPairs>
  <TitlesOfParts>
    <vt:vector size="1" baseType="lpstr">
      <vt:lpstr/>
    </vt:vector>
  </TitlesOfParts>
  <Company>Springer Nature</Company>
  <LinksUpToDate>false</LinksUpToDate>
  <CharactersWithSpaces>48309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Amol Betale</dc:creator>
  <cp:keywords/>
  <dc:description/>
  <cp:lastModifiedBy>Amol Betale</cp:lastModifiedBy>
  <cp:revision>1</cp:revision>
  <dcterms:created xsi:type="dcterms:W3CDTF">2021-10-20T17:52:00Z</dcterms:created>
  <dcterms:modified xsi:type="dcterms:W3CDTF">2021-10-21T10:03:00Z</dcterms:modified>
</cp:coreProperties>
</file>