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7A2C2">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imes New Roman Bold" w:hAnsi="Times New Roman Bold" w:cs="Times New Roman Bold"/>
          <w:b/>
          <w:bCs/>
          <w:color w:val="auto"/>
          <w:sz w:val="28"/>
          <w:szCs w:val="28"/>
          <w:lang w:val="en-US" w:eastAsia="zh-CN"/>
        </w:rPr>
      </w:pPr>
      <w:r>
        <w:rPr>
          <w:rFonts w:hint="eastAsia" w:ascii="Times New Roman Bold" w:hAnsi="Times New Roman Bold" w:cs="Times New Roman Bold"/>
          <w:b/>
          <w:bCs/>
          <w:color w:val="auto"/>
          <w:sz w:val="28"/>
          <w:szCs w:val="28"/>
          <w:lang w:val="en-US" w:eastAsia="zh-CN"/>
        </w:rPr>
        <w:t>Appendix</w:t>
      </w:r>
    </w:p>
    <w:p w14:paraId="79F834CA">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imes New Roman Bold" w:hAnsi="Times New Roman Bold" w:cs="Times New Roman Bold"/>
          <w:b/>
          <w:bCs/>
          <w:color w:val="auto"/>
          <w:sz w:val="28"/>
          <w:szCs w:val="28"/>
          <w:lang w:val="en-US" w:eastAsia="zh-CN"/>
        </w:rPr>
      </w:pPr>
      <w:r>
        <w:rPr>
          <w:rFonts w:hint="eastAsia" w:ascii="Times New Roman Bold" w:hAnsi="Times New Roman Bold" w:cs="Times New Roman Bold"/>
          <w:b/>
          <w:bCs/>
          <w:color w:val="auto"/>
          <w:sz w:val="28"/>
          <w:szCs w:val="28"/>
          <w:lang w:val="en-US" w:eastAsia="zh-CN"/>
        </w:rPr>
        <w:t>Clinical Information of the Cases</w:t>
      </w:r>
    </w:p>
    <w:p w14:paraId="6DBE75E1">
      <w:pPr>
        <w:rPr>
          <w:rFonts w:hint="eastAsia" w:ascii="Times New Roman Bold" w:hAnsi="Times New Roman Bold" w:cs="Times New Roman Bold"/>
          <w:b/>
          <w:bCs/>
          <w:color w:val="auto"/>
          <w:sz w:val="24"/>
          <w:szCs w:val="24"/>
          <w:lang w:val="en-US" w:eastAsia="zh-CN"/>
        </w:rPr>
      </w:pPr>
      <w:r>
        <w:rPr>
          <w:rFonts w:hint="eastAsia" w:ascii="Times New Roman Bold" w:hAnsi="Times New Roman Bold" w:cs="Times New Roman Bold"/>
          <w:b/>
          <w:bCs/>
          <w:color w:val="auto"/>
          <w:sz w:val="24"/>
          <w:szCs w:val="24"/>
          <w:lang w:val="en-US" w:eastAsia="zh-CN"/>
        </w:rPr>
        <w:t>Case 1</w:t>
      </w:r>
      <w:bookmarkStart w:id="0" w:name="_GoBack"/>
      <w:bookmarkEnd w:id="0"/>
    </w:p>
    <w:p w14:paraId="2E8117B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Regular" w:hAnsi="Times New Roman Regular" w:cs="Times New Roman Regular"/>
          <w:color w:val="auto"/>
          <w:sz w:val="24"/>
          <w:szCs w:val="24"/>
          <w:lang w:val="en-US" w:eastAsia="zh-CN"/>
        </w:rPr>
      </w:pPr>
      <w:r>
        <w:rPr>
          <w:rFonts w:hint="eastAsia" w:ascii="Times New Roman Regular" w:hAnsi="Times New Roman Regular" w:cs="Times New Roman Regular"/>
          <w:color w:val="auto"/>
          <w:sz w:val="24"/>
          <w:szCs w:val="24"/>
          <w:lang w:val="en-US" w:eastAsia="zh-CN"/>
        </w:rPr>
        <w:t>The patient was a male infant born at 36 + 1 weeks of gestation (birth weight, 3.3 kg; length, 50 cm) via spontaneous vaginal delivery. His mother had a history of gestational diabetes mellitus and denied exposure to known teratogenic medications during pregnancy. Prenatal ultrasonography revealed bilateral renal pelvic dilatation, which postnatally progressed to bilateral hydroureter and hydronephrosis.</w:t>
      </w:r>
    </w:p>
    <w:p w14:paraId="2A74ADB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Regular" w:hAnsi="Times New Roman Regular" w:cs="Times New Roman Regular"/>
          <w:color w:val="auto"/>
          <w:sz w:val="24"/>
          <w:szCs w:val="24"/>
          <w:lang w:val="en-US" w:eastAsia="zh-CN"/>
        </w:rPr>
      </w:pPr>
      <w:r>
        <w:rPr>
          <w:rFonts w:hint="eastAsia" w:ascii="Times New Roman Regular" w:hAnsi="Times New Roman Regular" w:cs="Times New Roman Regular"/>
          <w:color w:val="auto"/>
          <w:sz w:val="24"/>
          <w:szCs w:val="24"/>
          <w:lang w:val="en-US" w:eastAsia="zh-CN"/>
        </w:rPr>
        <w:t>At 2 months of age, the infant was admitted for evaluation due</w:t>
      </w:r>
      <w:r>
        <w:rPr>
          <w:rFonts w:hint="default" w:ascii="Times New Roman Regular" w:hAnsi="Times New Roman Regular" w:cs="Times New Roman Regular"/>
          <w:color w:val="auto"/>
          <w:sz w:val="24"/>
          <w:szCs w:val="24"/>
          <w:lang w:val="en-US" w:eastAsia="zh-CN"/>
        </w:rPr>
        <w:t xml:space="preserve"> to</w:t>
      </w:r>
      <w:r>
        <w:rPr>
          <w:rFonts w:hint="eastAsia" w:ascii="Times New Roman Regular" w:hAnsi="Times New Roman Regular" w:cs="Times New Roman Regular"/>
          <w:color w:val="auto"/>
          <w:sz w:val="24"/>
          <w:szCs w:val="24"/>
          <w:lang w:val="en-US" w:eastAsia="zh-CN"/>
        </w:rPr>
        <w:t xml:space="preserve"> a distinct triangular facial appearance. Physical examination revealed characteristic craniofacial dysmorphism, including micrognathia, microcephaly</w:t>
      </w:r>
      <w:r>
        <w:rPr>
          <w:rFonts w:hint="default" w:ascii="Times New Roman Regular" w:hAnsi="Times New Roman Regular" w:cs="Times New Roman Regular"/>
          <w:color w:val="auto"/>
          <w:sz w:val="24"/>
          <w:szCs w:val="24"/>
          <w:lang w:val="en-US" w:eastAsia="zh-CN"/>
        </w:rPr>
        <w:t xml:space="preserve"> and</w:t>
      </w:r>
      <w:r>
        <w:rPr>
          <w:rFonts w:hint="eastAsia" w:ascii="Times New Roman Regular" w:hAnsi="Times New Roman Regular" w:cs="Times New Roman Regular"/>
          <w:color w:val="auto"/>
          <w:sz w:val="24"/>
          <w:szCs w:val="24"/>
          <w:lang w:val="en-US" w:eastAsia="zh-CN"/>
        </w:rPr>
        <w:t xml:space="preserve"> inverted triangular face, and generalized lipoatrophy. Acanthosis nigricans and hypertrichosis were observed</w:t>
      </w:r>
      <w:r>
        <w:rPr>
          <w:rFonts w:hint="default" w:ascii="Times New Roman Regular" w:hAnsi="Times New Roman Regular" w:cs="Times New Roman Regular"/>
          <w:color w:val="auto"/>
          <w:sz w:val="24"/>
          <w:szCs w:val="24"/>
          <w:lang w:val="en-US" w:eastAsia="zh-CN"/>
        </w:rPr>
        <w:t xml:space="preserve"> </w:t>
      </w:r>
      <w:r>
        <w:rPr>
          <w:rFonts w:hint="eastAsia" w:ascii="Times New Roman Regular" w:hAnsi="Times New Roman Regular" w:cs="Times New Roman Regular"/>
          <w:color w:val="auto"/>
          <w:sz w:val="24"/>
          <w:szCs w:val="24"/>
          <w:lang w:val="en-US" w:eastAsia="zh-CN"/>
        </w:rPr>
        <w:t>on the neck and back. Laboratory evaluation demonstrated severe hypertriglyceridemia (9.65 mmol/L).</w:t>
      </w:r>
    </w:p>
    <w:p w14:paraId="49A3250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Regular" w:hAnsi="Times New Roman Regular" w:cs="Times New Roman Regular"/>
          <w:color w:val="auto"/>
          <w:sz w:val="24"/>
          <w:szCs w:val="24"/>
          <w:lang w:val="en-US" w:eastAsia="zh-CN"/>
        </w:rPr>
      </w:pPr>
      <w:r>
        <w:rPr>
          <w:rFonts w:hint="eastAsia" w:ascii="Times New Roman Regular" w:hAnsi="Times New Roman Regular" w:cs="Times New Roman Regular"/>
          <w:color w:val="auto"/>
          <w:sz w:val="24"/>
          <w:szCs w:val="24"/>
          <w:lang w:val="en-US" w:eastAsia="zh-CN"/>
        </w:rPr>
        <w:t>Whole-exome sequencing identified compound heterozygous pathogenic variants in the</w:t>
      </w:r>
      <w:r>
        <w:rPr>
          <w:rFonts w:hint="default" w:ascii="Times New Roman Italic" w:hAnsi="Times New Roman Italic" w:cs="Times New Roman Italic"/>
          <w:i/>
          <w:iCs/>
          <w:color w:val="auto"/>
          <w:sz w:val="24"/>
          <w:szCs w:val="24"/>
          <w:lang w:val="en-US" w:eastAsia="zh-CN"/>
        </w:rPr>
        <w:t xml:space="preserve"> BSCL2</w:t>
      </w:r>
      <w:r>
        <w:rPr>
          <w:rFonts w:hint="eastAsia" w:ascii="Times New Roman Regular" w:hAnsi="Times New Roman Regular" w:cs="Times New Roman Regular"/>
          <w:color w:val="auto"/>
          <w:sz w:val="24"/>
          <w:szCs w:val="24"/>
          <w:lang w:val="en-US" w:eastAsia="zh-CN"/>
        </w:rPr>
        <w:t xml:space="preserve"> gene, including a paternal </w:t>
      </w:r>
      <w:r>
        <w:rPr>
          <w:rFonts w:hint="eastAsia" w:ascii="Times New Roman Regular" w:hAnsi="Times New Roman Regular" w:cs="Times New Roman Regular"/>
          <w:color w:val="auto"/>
          <w:sz w:val="24"/>
          <w:szCs w:val="24"/>
          <w:lang w:val="en-US" w:eastAsia="zh-CN"/>
        </w:rPr>
        <w:t>c.757G&gt;T (p.Glu253*)</w:t>
      </w:r>
      <w:r>
        <w:rPr>
          <w:rFonts w:hint="eastAsia" w:ascii="Times New Roman Regular" w:hAnsi="Times New Roman Regular" w:cs="Times New Roman Regular"/>
          <w:color w:val="auto"/>
          <w:sz w:val="24"/>
          <w:szCs w:val="24"/>
          <w:lang w:val="en-US" w:eastAsia="zh-CN"/>
        </w:rPr>
        <w:t xml:space="preserve"> variant and a maternal </w:t>
      </w:r>
      <w:r>
        <w:rPr>
          <w:rFonts w:hint="eastAsia" w:ascii="Times New Roman Regular" w:hAnsi="Times New Roman Regular" w:cs="Times New Roman Regular"/>
          <w:color w:val="auto"/>
          <w:sz w:val="24"/>
          <w:szCs w:val="24"/>
          <w:lang w:val="en-US" w:eastAsia="zh-CN"/>
        </w:rPr>
        <w:t xml:space="preserve">c.320G&gt;A (p.Trp107*) </w:t>
      </w:r>
      <w:r>
        <w:rPr>
          <w:rFonts w:hint="eastAsia" w:ascii="Times New Roman Regular" w:hAnsi="Times New Roman Regular" w:cs="Times New Roman Regular"/>
          <w:color w:val="auto"/>
          <w:sz w:val="24"/>
          <w:szCs w:val="24"/>
          <w:lang w:val="en-US" w:eastAsia="zh-CN"/>
        </w:rPr>
        <w:t>variant, confirming the diagnosis of CGL2. Following diagnosis, a specialized low-fat diet was initiated, resulting in a reduction in triglyceride levels to 2.94 mmol/L within two months.</w:t>
      </w:r>
    </w:p>
    <w:p w14:paraId="71D80DE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Regular" w:hAnsi="Times New Roman Regular" w:cs="Times New Roman Regular"/>
          <w:color w:val="auto"/>
          <w:sz w:val="24"/>
          <w:szCs w:val="24"/>
          <w:lang w:val="en-US" w:eastAsia="zh-CN"/>
        </w:rPr>
      </w:pPr>
      <w:r>
        <w:rPr>
          <w:rFonts w:hint="eastAsia" w:ascii="Times New Roman Regular" w:hAnsi="Times New Roman Regular" w:cs="Times New Roman Regular"/>
          <w:color w:val="auto"/>
          <w:sz w:val="24"/>
          <w:szCs w:val="24"/>
          <w:lang w:val="en-US" w:eastAsia="zh-CN"/>
        </w:rPr>
        <w:t>The clinical course was notable for progressive multi-organ involvement. Comprehensive clinical developmental assessments performed at 1 year, 7 months, and 2 years of age consistently demonstrated</w:t>
      </w:r>
      <w:r>
        <w:rPr>
          <w:rFonts w:hint="default" w:ascii="Times New Roman Regular" w:hAnsi="Times New Roman Regular" w:cs="Times New Roman Regular"/>
          <w:color w:val="auto"/>
          <w:sz w:val="24"/>
          <w:szCs w:val="24"/>
          <w:lang w:val="en-US" w:eastAsia="zh-CN"/>
        </w:rPr>
        <w:t xml:space="preserve"> </w:t>
      </w:r>
      <w:r>
        <w:rPr>
          <w:rFonts w:hint="eastAsia" w:ascii="Times New Roman Regular" w:hAnsi="Times New Roman Regular" w:cs="Times New Roman Regular"/>
          <w:color w:val="auto"/>
          <w:sz w:val="24"/>
          <w:szCs w:val="24"/>
          <w:lang w:val="en-US" w:eastAsia="zh-CN"/>
        </w:rPr>
        <w:t>global developmental delay. By 2 years of age, the patient had undergone right inguinal hernia repair. Hepatomegaly, with the liver edge palpable 3 cm below the costal margin, was noted at 4 years of age, and hepatic steatosis was confirmed by ultrasonography at 5.5 years. At 6 years and 9 months of age, intravenous urography revealed severe, persistent dilation of the entire bilateral upper urinary tract, including the ureters, renal pelvis, and calyces, consistent with chronic high-grade obstructive hydronephrosis.</w:t>
      </w:r>
    </w:p>
    <w:p w14:paraId="229646E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Bold" w:hAnsi="Times New Roman Bold" w:cs="Times New Roman Bold"/>
          <w:b/>
          <w:bCs/>
          <w:color w:val="auto"/>
          <w:sz w:val="24"/>
          <w:szCs w:val="24"/>
          <w:lang w:val="en-US" w:eastAsia="zh-CN"/>
        </w:rPr>
      </w:pPr>
      <w:r>
        <w:rPr>
          <w:rFonts w:hint="eastAsia" w:ascii="Times New Roman Bold" w:hAnsi="Times New Roman Bold" w:cs="Times New Roman Bold"/>
          <w:b/>
          <w:bCs/>
          <w:color w:val="auto"/>
          <w:sz w:val="24"/>
          <w:szCs w:val="24"/>
          <w:lang w:val="en-US" w:eastAsia="zh-CN"/>
        </w:rPr>
        <w:t>Case 2</w:t>
      </w:r>
    </w:p>
    <w:p w14:paraId="10DA0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The patient was a male infant born at 36 weeks of gestation (birth weight, 2.8 kg; length, 50 cm) and was referred for postnatal evaluation because of failure to thrive. Physical examination revealed inverted triangular face. Laboratory investigations demonstrated hypertriglyceridemia and elevated liver enzymes.</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 xml:space="preserve">Whole-exome sequencing identified compound heterozygous pathogenic variants in the </w:t>
      </w:r>
      <w:r>
        <w:rPr>
          <w:rFonts w:hint="default" w:ascii="Times New Roman Italic" w:hAnsi="Times New Roman Italic" w:cs="Times New Roman Italic"/>
          <w:i/>
          <w:iCs/>
          <w:color w:val="auto"/>
          <w:sz w:val="24"/>
          <w:szCs w:val="24"/>
          <w:lang w:val="en-US" w:eastAsia="zh-CN"/>
        </w:rPr>
        <w:t>BSCL2</w:t>
      </w:r>
      <w:r>
        <w:rPr>
          <w:rFonts w:hint="default" w:ascii="Times New Roman Regular" w:hAnsi="Times New Roman Regular" w:cs="Times New Roman Regular"/>
          <w:color w:val="auto"/>
          <w:sz w:val="24"/>
          <w:szCs w:val="24"/>
          <w:lang w:val="en-US" w:eastAsia="zh-CN"/>
        </w:rPr>
        <w:t xml:space="preserve"> gene, including a paternal c.782_783insG (p.Gly262Argfs</w:t>
      </w:r>
      <w:r>
        <w:rPr>
          <w:rFonts w:hint="eastAsia"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lang w:val="en-US" w:eastAsia="zh-CN"/>
        </w:rPr>
        <w:t>13) variant and a maternal c.128G&gt;A (p.Trp43</w:t>
      </w:r>
      <w:r>
        <w:rPr>
          <w:rFonts w:hint="eastAsia"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lang w:val="en-US" w:eastAsia="zh-CN"/>
        </w:rPr>
        <w:t>) variant, confirming the diagnosis of CGL2.</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Initial management included lipid-lowering and hepatoprotective therapy.</w:t>
      </w:r>
    </w:p>
    <w:p w14:paraId="3AC810C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 xml:space="preserve">Hepatic involvement progressed over time, with ultrasonography at 5 years of age revealing hepatosplenomegaly and diffuse hepatic steatosis. At 10 years of age, the patient was hospitalized for further evaluation, which confirmed persistently elevated liver enzymes (ALT,146 U/L; AST,68 U/L) and hyperinsulinemia (fasting insulin, 27.9 ng/mL), </w:t>
      </w:r>
      <w:r>
        <w:rPr>
          <w:rFonts w:hint="default" w:ascii="Times New Roman Regular" w:hAnsi="Times New Roman Regular" w:cs="Times New Roman Regular"/>
          <w:color w:val="auto"/>
          <w:sz w:val="24"/>
          <w:szCs w:val="24"/>
          <w:lang w:val="en-US" w:eastAsia="zh-CN"/>
        </w:rPr>
        <w:t xml:space="preserve">leading to diagnoses of abnormal liver function and insulin resistance. Combined pharmacotherapy with metformin (1000 mg/day) and </w:t>
      </w:r>
      <w:r>
        <w:rPr>
          <w:rFonts w:hint="eastAsia" w:ascii="Times New Roman Regular" w:hAnsi="Times New Roman Regular" w:cs="Times New Roman Regular"/>
          <w:color w:val="auto"/>
          <w:sz w:val="24"/>
          <w:szCs w:val="24"/>
          <w:lang w:val="en-US" w:eastAsia="zh-CN"/>
        </w:rPr>
        <w:t>b</w:t>
      </w:r>
      <w:r>
        <w:rPr>
          <w:rFonts w:hint="default" w:ascii="Times New Roman Regular" w:hAnsi="Times New Roman Regular" w:cs="Times New Roman Regular"/>
          <w:color w:val="auto"/>
          <w:sz w:val="24"/>
          <w:szCs w:val="24"/>
          <w:lang w:val="en-US" w:eastAsia="zh-CN"/>
        </w:rPr>
        <w:t>ifendate was initiated.</w:t>
      </w:r>
    </w:p>
    <w:p w14:paraId="579B31C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A structured multidisciplinary management plan was subsequently implemented, emphasizing strict dietary control (low fat and carbohydrate intake, supplemented with high-quality protein and medium-chain triglycerides), prescribed physical activity, and regular monitoring of metabolic parameters, including triglycerides, liver enzymes, fasting insulin, and glucose. A</w:t>
      </w:r>
      <w:r>
        <w:rPr>
          <w:rFonts w:hint="default" w:ascii="Times New Roman Regular" w:hAnsi="Times New Roman Regular" w:cs="Times New Roman Regular"/>
          <w:color w:val="auto"/>
          <w:sz w:val="24"/>
          <w:szCs w:val="24"/>
          <w:lang w:val="en-US" w:eastAsia="zh-CN"/>
        </w:rPr>
        <w:t>t 10 years and 6 months of age, the patient exhibited</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impaired speech articulation. Formal cognitive assessment using the Wechsler Intelligence Scale revealed a full-scale IQ of 68, indicating mild intellectual disability. Endocrine evaluation showed age-appropriate pubertal hormone levels. Scrotal ultrasonography identified bilateral hydroceles and a left spermatic cord hydrocele. Bone age assessment indicated advancement to approximately 15 years.</w:t>
      </w:r>
    </w:p>
    <w:p w14:paraId="4D342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auto"/>
          <w:sz w:val="24"/>
          <w:szCs w:val="24"/>
          <w:lang w:val="en-US" w:eastAsia="zh-CN"/>
        </w:rPr>
      </w:pPr>
    </w:p>
    <w:p w14:paraId="4BE75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auto"/>
          <w:sz w:val="24"/>
          <w:szCs w:val="24"/>
          <w:lang w:val="en-US" w:eastAsia="zh-CN"/>
        </w:rPr>
      </w:pPr>
    </w:p>
    <w:p w14:paraId="265BA29D">
      <w:pPr>
        <w:keepNext w:val="0"/>
        <w:keepLines w:val="0"/>
        <w:widowControl/>
        <w:suppressLineNumbers w:val="0"/>
        <w:jc w:val="left"/>
        <w:rPr>
          <w:rFonts w:hint="default" w:ascii="Times New Roman Bold" w:hAnsi="Times New Roman Bold" w:cs="Times New Roman Bold"/>
          <w:b/>
          <w:bCs/>
          <w:color w:val="auto"/>
          <w:sz w:val="24"/>
          <w:szCs w:val="24"/>
          <w:lang w:val="en-US" w:eastAsia="zh-CN"/>
        </w:rPr>
      </w:pPr>
      <w:r>
        <w:rPr>
          <w:rFonts w:hint="default" w:ascii="Times New Roman Bold" w:hAnsi="Times New Roman Bold" w:cs="Times New Roman Bold"/>
          <w:b/>
          <w:bCs/>
          <w:color w:val="auto"/>
          <w:sz w:val="24"/>
          <w:szCs w:val="24"/>
          <w:lang w:val="en-US" w:eastAsia="zh-CN"/>
        </w:rPr>
        <w:t>Case 3</w:t>
      </w:r>
    </w:p>
    <w:p w14:paraId="2BB46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The patient was a female infant born at 38 weeks of gestation (birth weight, 2.75 kg; birth length not recorded). At 3 months of age, she was evaluated for persistent hand tremors. Physical examination revealed generalized lipoatrophy and characteristic dysmorphic features, including an inverted triangular face, hirsutism, acanthosis nigricans, a preauricular skin tag anterior to the right ear, and hepatomegaly, with the liver edge palpable 7 cm below the right costal margin. Laboratory investigations demonstrated severe hypertriglyceridemia (13.98 mmol/L).</w:t>
      </w:r>
    </w:p>
    <w:p w14:paraId="2A7D7CF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Whole-exome sequencing identified compound heterozygous pathogenic variants in the BSCL2 gene, including a paternal c.782dup (p.Ile262Hisfs</w:t>
      </w:r>
      <w:r>
        <w:rPr>
          <w:rFonts w:hint="eastAsia"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lang w:val="en-US" w:eastAsia="zh-CN"/>
        </w:rPr>
        <w:t>12) variant and a maternal c.565G&gt;T (p.Glu189</w:t>
      </w:r>
      <w:r>
        <w:rPr>
          <w:rFonts w:hint="eastAsia"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lang w:val="en-US" w:eastAsia="zh-CN"/>
        </w:rPr>
        <w:t>) variant, confirming the clinical diagnosis of CGL2. A specialized low-fat diet combined with oral bezafibrate (200 mg/day) was initiated, resulting in a reduction in triglyceride levels to 3.49 mmol/L within 8 months.</w:t>
      </w:r>
    </w:p>
    <w:p w14:paraId="7A1C224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At 1 year of age, hyperinsulinemia (fasting insulin, 39.18 ng/mL) was detected, leading to a diagnosis of insulin resistance and initiation of oral metformin therapy (250 mg/day). By 2 years of age, elevated liver enzymes (ALT, 170.1 U/L; AST, 56.1 U/L) indicated abnormal liver function, prompting treatment w</w:t>
      </w:r>
      <w:r>
        <w:rPr>
          <w:rFonts w:hint="default" w:ascii="Times New Roman Regular" w:hAnsi="Times New Roman Regular" w:cs="Times New Roman Regular"/>
          <w:color w:val="auto"/>
          <w:sz w:val="24"/>
          <w:szCs w:val="24"/>
          <w:lang w:val="en-US" w:eastAsia="zh-CN"/>
        </w:rPr>
        <w:t>ith Gan-Tai-Le (Chinese hepatoprotective agent) and bifendate.</w:t>
      </w:r>
      <w:r>
        <w:rPr>
          <w:rFonts w:hint="default" w:ascii="Times New Roman Regular" w:hAnsi="Times New Roman Regular" w:cs="Times New Roman Regular"/>
          <w:color w:val="auto"/>
          <w:sz w:val="24"/>
          <w:szCs w:val="24"/>
          <w:lang w:val="en-US" w:eastAsia="zh-CN"/>
        </w:rPr>
        <w:t xml:space="preserve"> At 3 years of age, abdominal Doppler ultrasonography confirmed hepatosplenomegaly and diffuse hepatic steatosis.</w:t>
      </w:r>
    </w:p>
    <w:p w14:paraId="474CEE6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At the most recent follow-up, serum lipid and fasting glucose levels remained well controlled, although fasting insulin levels continued to fluctuate. Based on formal clinical assessment, she was diagnosed with language developmental delay and mild intellectual disability.</w:t>
      </w:r>
    </w:p>
    <w:p w14:paraId="1841416A">
      <w:pPr>
        <w:rPr>
          <w:rFonts w:hint="eastAsia" w:ascii="Times New Roman Bold" w:hAnsi="Times New Roman Bold" w:cs="Times New Roman Bold"/>
          <w:b/>
          <w:bCs/>
          <w:color w:val="auto"/>
          <w:sz w:val="24"/>
          <w:szCs w:val="24"/>
          <w:lang w:val="en-US" w:eastAsia="zh-CN"/>
        </w:rPr>
      </w:pPr>
    </w:p>
    <w:p w14:paraId="500D7A0B">
      <w:pPr>
        <w:rPr>
          <w:rFonts w:hint="eastAsia" w:ascii="Times New Roman Bold" w:hAnsi="Times New Roman Bold" w:cs="Times New Roman Bold"/>
          <w:b/>
          <w:bCs/>
          <w:color w:val="auto"/>
          <w:sz w:val="24"/>
          <w:szCs w:val="24"/>
          <w:lang w:val="en-US" w:eastAsia="zh-CN"/>
        </w:rPr>
      </w:pPr>
    </w:p>
    <w:p w14:paraId="0C0080AD">
      <w:pPr>
        <w:rPr>
          <w:rFonts w:hint="eastAsia" w:ascii="Times New Roman Bold" w:hAnsi="Times New Roman Bold" w:cs="Times New Roman Bold"/>
          <w:b/>
          <w:bCs/>
          <w:color w:val="auto"/>
          <w:sz w:val="24"/>
          <w:szCs w:val="24"/>
          <w:lang w:val="en-US" w:eastAsia="zh-CN"/>
        </w:rPr>
      </w:pPr>
    </w:p>
    <w:p w14:paraId="1F089BB8">
      <w:pPr>
        <w:rPr>
          <w:rFonts w:hint="eastAsia" w:ascii="Times New Roman Bold" w:hAnsi="Times New Roman Bold" w:cs="Times New Roman Bold"/>
          <w:b/>
          <w:bCs/>
          <w:color w:val="auto"/>
          <w:sz w:val="24"/>
          <w:szCs w:val="24"/>
          <w:lang w:val="en-US" w:eastAsia="zh-CN"/>
        </w:rPr>
      </w:pPr>
    </w:p>
    <w:p w14:paraId="11D9BFCD">
      <w:pPr>
        <w:rPr>
          <w:rFonts w:hint="eastAsia" w:ascii="Times New Roman Bold" w:hAnsi="Times New Roman Bold" w:cs="Times New Roman Bold"/>
          <w:b/>
          <w:bCs/>
          <w:color w:val="auto"/>
          <w:sz w:val="24"/>
          <w:szCs w:val="24"/>
          <w:lang w:val="en-US" w:eastAsia="zh-CN"/>
        </w:rPr>
      </w:pPr>
    </w:p>
    <w:p w14:paraId="7615B1BA">
      <w:pPr>
        <w:rPr>
          <w:rFonts w:hint="eastAsia" w:ascii="Times New Roman Bold" w:hAnsi="Times New Roman Bold" w:cs="Times New Roman Bold"/>
          <w:b/>
          <w:bCs/>
          <w:color w:val="auto"/>
          <w:sz w:val="24"/>
          <w:szCs w:val="24"/>
          <w:lang w:val="en-US" w:eastAsia="zh-CN"/>
        </w:rPr>
      </w:pPr>
      <w:r>
        <w:rPr>
          <w:rFonts w:hint="eastAsia" w:ascii="Times New Roman Bold" w:hAnsi="Times New Roman Bold" w:cs="Times New Roman Bold"/>
          <w:b/>
          <w:bCs/>
          <w:color w:val="auto"/>
          <w:sz w:val="24"/>
          <w:szCs w:val="24"/>
          <w:lang w:val="en-US" w:eastAsia="zh-CN"/>
        </w:rPr>
        <w:t>Case 4</w:t>
      </w:r>
    </w:p>
    <w:p w14:paraId="457A3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The patient was a male infant born at 38 weeks of gestation via spontaneous vaginal delivery (birth weight, 3.1 kg; length, 50 cm). He was referred to our hospital for evaluation of abnormal liver function associated with hypertriglyceridemia. Physical examination revealed generalized lipoatrophy and distinctive craniofacial dysmorphism, including an inverted triangular face, along with acanthosis nigricans and hepatomegaly, with the liver edge palpable 3.5 cm below the right costal margin. Laboratory investigations confirmed hypertriglyceridemia (4.56 mmol/L) and elevated liver enzymes (ALT, 106 U/L; AST ,52.7 U/L).</w:t>
      </w:r>
    </w:p>
    <w:p w14:paraId="5D6FD7F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Whole-exome sequencing identified a homozygous pathogenic variant in the</w:t>
      </w:r>
      <w:r>
        <w:rPr>
          <w:rFonts w:hint="default" w:ascii="Times New Roman Italic" w:hAnsi="Times New Roman Italic" w:cs="Times New Roman Italic"/>
          <w:i/>
          <w:iCs/>
          <w:color w:val="auto"/>
          <w:sz w:val="24"/>
          <w:szCs w:val="24"/>
          <w:lang w:val="en-US" w:eastAsia="zh-CN"/>
        </w:rPr>
        <w:t xml:space="preserve"> BSCL2</w:t>
      </w:r>
      <w:r>
        <w:rPr>
          <w:rFonts w:hint="default" w:ascii="Times New Roman Regular" w:hAnsi="Times New Roman Regular" w:cs="Times New Roman Regular"/>
          <w:color w:val="auto"/>
          <w:sz w:val="24"/>
          <w:szCs w:val="24"/>
          <w:lang w:val="en-US" w:eastAsia="zh-CN"/>
        </w:rPr>
        <w:t xml:space="preserve"> gene (</w:t>
      </w:r>
      <w:r>
        <w:rPr>
          <w:rFonts w:hint="default" w:ascii="Times New Roman Regular" w:hAnsi="Times New Roman Regular" w:cs="Times New Roman Regular"/>
          <w:color w:val="auto"/>
          <w:sz w:val="24"/>
          <w:szCs w:val="24"/>
          <w:lang w:val="en-US" w:eastAsia="zh-CN"/>
        </w:rPr>
        <w:t>c.974dup; p.Ile326Hisfs*12)</w:t>
      </w:r>
      <w:r>
        <w:rPr>
          <w:rFonts w:hint="default" w:ascii="Times New Roman Regular" w:hAnsi="Times New Roman Regular" w:cs="Times New Roman Regular"/>
          <w:color w:val="auto"/>
          <w:sz w:val="24"/>
          <w:szCs w:val="24"/>
          <w:lang w:val="en-US" w:eastAsia="zh-CN"/>
        </w:rPr>
        <w:t>, confirming the diagnosis of CGL2. A specialized low-fat diet combined with hepatoprotective therapy, including oral glucuronolactone and bifendate, was initiated, resulting in a reduction in triglyceride levels to 2.44 mmol/L within three months.</w:t>
      </w:r>
    </w:p>
    <w:p w14:paraId="0D7BD59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At 10 months of age, the patient was diagnosed with bilateral inguinal hernias and underwent surgical repair. At 1 year of age, abdominal Doppler ultrasonography revealed hepatic steatosis. Subsequent developmental surveillance at 1 year and 5 months of age identified significant neurodevelopmental delay. A standardized 0–6-Year Child Neuropsychological Developmental Scale, a validated Chinese developmental assessment tool, was administered, yielding a total score of 77 (Gross Motor 87, Fine Motor 78, Adaptive Behavior 96, Language 61, Social Behavior 61), indicating global developmental delay, with particularly severe impairment in the language and social domains.</w:t>
      </w:r>
      <w:r>
        <w:rPr>
          <w:rFonts w:hint="default"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With continued therapy, serum lipid levels normalized, and liver enzyme levels progressively returned to the normal range.</w:t>
      </w:r>
    </w:p>
    <w:p w14:paraId="4774E036">
      <w:pPr>
        <w:rPr>
          <w:rFonts w:hint="eastAsia" w:ascii="Times New Roman Bold" w:hAnsi="Times New Roman Bold" w:cs="Times New Roman Bold"/>
          <w:b/>
          <w:bCs/>
          <w:color w:val="auto"/>
          <w:sz w:val="24"/>
          <w:szCs w:val="24"/>
          <w:lang w:val="en-US" w:eastAsia="zh-CN"/>
        </w:rPr>
      </w:pPr>
    </w:p>
    <w:p w14:paraId="72CE2DB5">
      <w:pPr>
        <w:rPr>
          <w:rFonts w:hint="eastAsia" w:ascii="Times New Roman Bold" w:hAnsi="Times New Roman Bold" w:cs="Times New Roman Bold"/>
          <w:b/>
          <w:bCs/>
          <w:color w:val="auto"/>
          <w:sz w:val="24"/>
          <w:szCs w:val="24"/>
          <w:lang w:val="en-US" w:eastAsia="zh-CN"/>
        </w:rPr>
      </w:pPr>
    </w:p>
    <w:p w14:paraId="0B8A36FD">
      <w:pPr>
        <w:rPr>
          <w:rFonts w:hint="eastAsia" w:ascii="Times New Roman Bold" w:hAnsi="Times New Roman Bold" w:cs="Times New Roman Bold"/>
          <w:b/>
          <w:bCs/>
          <w:color w:val="auto"/>
          <w:sz w:val="24"/>
          <w:szCs w:val="24"/>
          <w:lang w:val="en-US" w:eastAsia="zh-CN"/>
        </w:rPr>
      </w:pPr>
    </w:p>
    <w:p w14:paraId="551E4782">
      <w:pPr>
        <w:rPr>
          <w:rFonts w:hint="eastAsia" w:ascii="Times New Roman Bold" w:hAnsi="Times New Roman Bold" w:cs="Times New Roman Bold"/>
          <w:b/>
          <w:bCs/>
          <w:color w:val="auto"/>
          <w:sz w:val="24"/>
          <w:szCs w:val="24"/>
          <w:lang w:val="en-US" w:eastAsia="zh-CN"/>
        </w:rPr>
      </w:pPr>
    </w:p>
    <w:p w14:paraId="790802EF">
      <w:pPr>
        <w:rPr>
          <w:rFonts w:hint="eastAsia" w:ascii="Times New Roman Bold" w:hAnsi="Times New Roman Bold" w:cs="Times New Roman Bold"/>
          <w:b/>
          <w:bCs/>
          <w:color w:val="auto"/>
          <w:sz w:val="24"/>
          <w:szCs w:val="24"/>
          <w:lang w:val="en-US" w:eastAsia="zh-CN"/>
        </w:rPr>
      </w:pPr>
      <w:r>
        <w:rPr>
          <w:rFonts w:hint="eastAsia" w:ascii="Times New Roman Bold" w:hAnsi="Times New Roman Bold" w:cs="Times New Roman Bold"/>
          <w:b/>
          <w:bCs/>
          <w:color w:val="auto"/>
          <w:sz w:val="24"/>
          <w:szCs w:val="24"/>
          <w:lang w:val="en-US" w:eastAsia="zh-CN"/>
        </w:rPr>
        <w:t>Case 5</w:t>
      </w:r>
    </w:p>
    <w:p w14:paraId="6483A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b w:val="0"/>
          <w:bCs w:val="0"/>
          <w:color w:val="auto"/>
          <w:sz w:val="24"/>
          <w:szCs w:val="24"/>
          <w:lang w:val="en-US"/>
        </w:rPr>
      </w:pPr>
      <w:r>
        <w:rPr>
          <w:rFonts w:hint="default" w:ascii="Times New Roman Regular" w:hAnsi="Times New Roman Regular" w:cs="Times New Roman Regular"/>
          <w:b w:val="0"/>
          <w:bCs w:val="0"/>
          <w:color w:val="auto"/>
          <w:sz w:val="24"/>
          <w:szCs w:val="24"/>
          <w:lang w:val="en-US" w:eastAsia="zh-CN"/>
        </w:rPr>
        <w:t>The patient was a male infant born at 39 weeks of gestation via spontaneous vaginal delivery (birth weight, 3.1 kg; length, 50 cm).</w:t>
      </w:r>
      <w:r>
        <w:rPr>
          <w:rFonts w:hint="eastAsia" w:ascii="Times New Roman Regular" w:hAnsi="Times New Roman Regular" w:cs="Times New Roman Regular"/>
          <w:b w:val="0"/>
          <w:bCs w:val="0"/>
          <w:color w:val="auto"/>
          <w:sz w:val="24"/>
          <w:szCs w:val="24"/>
          <w:lang w:val="en-US" w:eastAsia="zh-CN"/>
        </w:rPr>
        <w:t xml:space="preserve"> </w:t>
      </w:r>
      <w:r>
        <w:rPr>
          <w:rFonts w:hint="default" w:ascii="Times New Roman Regular" w:hAnsi="Times New Roman Regular" w:cs="Times New Roman Regular"/>
          <w:b w:val="0"/>
          <w:bCs w:val="0"/>
          <w:color w:val="auto"/>
          <w:sz w:val="24"/>
          <w:szCs w:val="24"/>
          <w:lang w:val="en-US"/>
        </w:rPr>
        <w:t xml:space="preserve">He was admitted at 3 months of age for evaluation of hypertriglyceridemia. Physical examination revealed generalized lipoatrophy and characteristic features, including an inverted triangular face, hirsutism, and acanthosis nigricans. Laboratory testing confirmed severe hypertriglyceridemia (24.55 mmol/L). Whole-exome sequencing identified a homozygous pathogenic variant in the </w:t>
      </w:r>
      <w:r>
        <w:rPr>
          <w:rFonts w:hint="default" w:ascii="Times New Roman Italic" w:hAnsi="Times New Roman Italic" w:cs="Times New Roman Italic"/>
          <w:b w:val="0"/>
          <w:bCs w:val="0"/>
          <w:i/>
          <w:iCs/>
          <w:color w:val="auto"/>
          <w:sz w:val="24"/>
          <w:szCs w:val="24"/>
          <w:lang w:val="en-US"/>
        </w:rPr>
        <w:t>BSCL2</w:t>
      </w:r>
      <w:r>
        <w:rPr>
          <w:rFonts w:hint="default" w:ascii="Times New Roman Regular" w:hAnsi="Times New Roman Regular" w:cs="Times New Roman Regular"/>
          <w:b w:val="0"/>
          <w:bCs w:val="0"/>
          <w:color w:val="auto"/>
          <w:sz w:val="24"/>
          <w:szCs w:val="24"/>
          <w:lang w:val="en-US"/>
        </w:rPr>
        <w:t xml:space="preserve"> gene </w:t>
      </w:r>
      <w:r>
        <w:rPr>
          <w:rFonts w:hint="default" w:ascii="Times New Roman Regular" w:hAnsi="Times New Roman Regular" w:cs="Times New Roman Regular"/>
          <w:b w:val="0"/>
          <w:bCs w:val="0"/>
          <w:color w:val="auto"/>
          <w:sz w:val="24"/>
          <w:szCs w:val="24"/>
          <w:lang w:val="en-US"/>
        </w:rPr>
        <w:t>(c.974dup; p.Ile326Hisfs*12)</w:t>
      </w:r>
      <w:r>
        <w:rPr>
          <w:rFonts w:hint="default" w:ascii="Times New Roman Regular" w:hAnsi="Times New Roman Regular" w:cs="Times New Roman Regular"/>
          <w:b w:val="0"/>
          <w:bCs w:val="0"/>
          <w:color w:val="auto"/>
          <w:sz w:val="24"/>
          <w:szCs w:val="24"/>
          <w:lang w:val="en-US"/>
        </w:rPr>
        <w:t>, confirming the diagnosis of</w:t>
      </w:r>
      <w:r>
        <w:rPr>
          <w:rFonts w:hint="eastAsia" w:ascii="Times New Roman Regular" w:hAnsi="Times New Roman Regular" w:eastAsia="宋体" w:cs="Times New Roman Regular"/>
          <w:b w:val="0"/>
          <w:bCs w:val="0"/>
          <w:color w:val="auto"/>
          <w:sz w:val="24"/>
          <w:szCs w:val="24"/>
          <w:lang w:val="en-US" w:eastAsia="zh-CN"/>
        </w:rPr>
        <w:t xml:space="preserve"> </w:t>
      </w:r>
      <w:r>
        <w:rPr>
          <w:rFonts w:hint="default" w:ascii="Times New Roman Regular" w:hAnsi="Times New Roman Regular" w:cs="Times New Roman Regular"/>
          <w:b w:val="0"/>
          <w:bCs w:val="0"/>
          <w:color w:val="auto"/>
          <w:sz w:val="24"/>
          <w:szCs w:val="24"/>
          <w:lang w:val="en-US"/>
        </w:rPr>
        <w:t xml:space="preserve">CGL2. Dietary modification </w:t>
      </w:r>
      <w:r>
        <w:rPr>
          <w:rFonts w:hint="default" w:ascii="Times New Roman Regular" w:hAnsi="Times New Roman Regular" w:cs="Times New Roman Regular"/>
          <w:b w:val="0"/>
          <w:bCs w:val="0"/>
          <w:color w:val="auto"/>
          <w:sz w:val="24"/>
          <w:szCs w:val="24"/>
          <w:lang w:val="en-US" w:eastAsia="zh-CN"/>
        </w:rPr>
        <w:t>with</w:t>
      </w:r>
      <w:r>
        <w:rPr>
          <w:rFonts w:hint="default" w:ascii="Times New Roman Regular" w:hAnsi="Times New Roman Regular" w:cs="Times New Roman Regular"/>
          <w:b w:val="0"/>
          <w:bCs w:val="0"/>
          <w:color w:val="auto"/>
          <w:sz w:val="24"/>
          <w:szCs w:val="24"/>
          <w:lang w:val="en-US"/>
        </w:rPr>
        <w:t xml:space="preserve"> a medium-chain triglyceride (MCT)–based formula resulted in a reduction in triglyceride levels to 4.94 mmol/L within 6 months.</w:t>
      </w:r>
    </w:p>
    <w:p w14:paraId="7762331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auto"/>
        </w:rPr>
      </w:pPr>
      <w:r>
        <w:rPr>
          <w:rFonts w:hint="default" w:ascii="Times New Roman Regular" w:hAnsi="Times New Roman Regular" w:cs="Times New Roman Regular"/>
          <w:color w:val="auto"/>
          <w:sz w:val="24"/>
          <w:szCs w:val="24"/>
          <w:lang w:val="en-US" w:eastAsia="zh-CN"/>
        </w:rPr>
        <w:t>At 18 months of age, abdominal ultrasonography revealed hepatomegaly, with the liver edge palpable 2 cm below the right costal margin, accompanied by mild hepatic steatosis, which subsequently resolved on follow-up. At 1 year and 6 months of age, a standardized 0</w:t>
      </w:r>
      <w:r>
        <w:rPr>
          <w:rFonts w:hint="eastAsia"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lang w:val="en-US" w:eastAsia="zh-CN"/>
        </w:rPr>
        <w:t>6</w:t>
      </w:r>
      <w:r>
        <w:rPr>
          <w:rFonts w:hint="eastAsia"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lang w:val="en-US" w:eastAsia="zh-CN"/>
        </w:rPr>
        <w:t xml:space="preserve">Year Child Neuropsychological Developmental Scale was administered, yielding a total score of 68 </w:t>
      </w:r>
      <w:r>
        <w:rPr>
          <w:rFonts w:hint="default" w:ascii="Times New Roman Regular" w:hAnsi="Times New Roman Regular" w:cs="Times New Roman Regular"/>
          <w:color w:val="auto"/>
          <w:sz w:val="24"/>
          <w:szCs w:val="24"/>
          <w:lang w:val="en-US" w:eastAsia="zh-CN"/>
        </w:rPr>
        <w:t xml:space="preserve">(Gross Motor 92, Fine Motor 67, Adaptive Behavior 83, Language 36, Social Behavior 61), </w:t>
      </w:r>
      <w:r>
        <w:rPr>
          <w:rFonts w:hint="default" w:ascii="Times New Roman Regular" w:hAnsi="Times New Roman Regular" w:cs="Times New Roman Regular"/>
          <w:color w:val="auto"/>
          <w:sz w:val="24"/>
          <w:szCs w:val="24"/>
          <w:lang w:val="en-US" w:eastAsia="zh-CN"/>
        </w:rPr>
        <w:t>indicating global developmental delay, with particularly severe impairment in language and social domains. By 2 years and 7 months of age, the patient developed myoclonus, dystonia, and gait instability, necessitating regular rehabilitation. Motor dysfunction progressed to lower limb weakness and impaired postural control by 4 years and 4 months of age. At 4 years and 10 months, he exhibited orofacial dyskinesia (rightward deviation with drooling), self-injurious behavior, hyperphagia, and marked sleep disturbance.</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Electroencephalography during wakefulness revealed epileptiform discharges, including multispike and spike–slow wave complexes. Brain magnetic resonance imaging demonstrated</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abnormal T2-weighted signal changes in the trigone and posterior white matter of the bilateral lateral ventricles, as well as a suspicious small nodule in the left pontocerebellar peduncle. A diagnosis of epilepsy was established, and treatment with levetiracetam</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and</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oxcarbazepine</w:t>
      </w:r>
      <w:r>
        <w:rPr>
          <w:rFonts w:hint="default"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was initiated; however, seizure control remained incomplete.</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STSong">
    <w:panose1 w:val="02010600040101010101"/>
    <w:charset w:val="86"/>
    <w:family w:val="auto"/>
    <w:pitch w:val="default"/>
    <w:sig w:usb0="80000287" w:usb1="280F3C52" w:usb2="00000016" w:usb3="00000000" w:csb0="0004001F" w:csb1="00000000"/>
  </w:font>
  <w:font w:name="Songti SC">
    <w:panose1 w:val="02010800040101010101"/>
    <w:charset w:val="86"/>
    <w:family w:val="auto"/>
    <w:pitch w:val="default"/>
    <w:sig w:usb0="00000001" w:usb1="080F0000" w:usb2="00000000" w:usb3="00000000" w:csb0="00040000"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Roboto">
    <w:panose1 w:val="00000000000000000000"/>
    <w:charset w:val="00"/>
    <w:family w:val="auto"/>
    <w:pitch w:val="default"/>
    <w:sig w:usb0="E00002FF" w:usb1="5000205B" w:usb2="00000020" w:usb3="00000000" w:csb0="2000019F" w:csb1="4F01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32E46"/>
    <w:rsid w:val="25FF19CE"/>
    <w:rsid w:val="2FC641D9"/>
    <w:rsid w:val="399AD963"/>
    <w:rsid w:val="3DFCAE8B"/>
    <w:rsid w:val="4FCA7C53"/>
    <w:rsid w:val="55EDB588"/>
    <w:rsid w:val="5EBE000B"/>
    <w:rsid w:val="5F632E46"/>
    <w:rsid w:val="5FFF771A"/>
    <w:rsid w:val="67756387"/>
    <w:rsid w:val="6B4BE969"/>
    <w:rsid w:val="6FBF4D2B"/>
    <w:rsid w:val="768FBDA0"/>
    <w:rsid w:val="77FFF2D4"/>
    <w:rsid w:val="78E766BE"/>
    <w:rsid w:val="7B771371"/>
    <w:rsid w:val="7E0F5B0F"/>
    <w:rsid w:val="7F970C2C"/>
    <w:rsid w:val="7FCFDD81"/>
    <w:rsid w:val="9B9E3D93"/>
    <w:rsid w:val="9FDA3FB5"/>
    <w:rsid w:val="A55FD105"/>
    <w:rsid w:val="A7D6D2D9"/>
    <w:rsid w:val="BABFEDD2"/>
    <w:rsid w:val="BDFD8A54"/>
    <w:rsid w:val="BFAF8F24"/>
    <w:rsid w:val="D7FF17DC"/>
    <w:rsid w:val="D97FA496"/>
    <w:rsid w:val="DD6B18C2"/>
    <w:rsid w:val="DFFF68CD"/>
    <w:rsid w:val="EDD38E24"/>
    <w:rsid w:val="EEFDDFE0"/>
    <w:rsid w:val="EF9D4DAC"/>
    <w:rsid w:val="F5EF9D7A"/>
    <w:rsid w:val="F7F5B4E0"/>
    <w:rsid w:val="FEA5EB6B"/>
    <w:rsid w:val="FED151FD"/>
    <w:rsid w:val="FEF5EBE8"/>
    <w:rsid w:val="FF76BA8A"/>
    <w:rsid w:val="FF8E2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2025-12-15T17:33:00Z</dcterms:created>
  <dc:creator>有庆</dc:creator>
  <cp:lastModifiedBy>有庆</cp:lastModifiedBy>
  <dcterms:modified xsi:type="dcterms:W3CDTF">2026-05-15T09:50:25Z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27238B8B4284AB0062843E69036DFD32_41</vt:lpwstr>
  </property>
</Properties>
</file>