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85E02">
      <w:pPr>
        <w:snapToGrid w:val="0"/>
        <w:spacing w:line="360" w:lineRule="auto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585B28AC">
      <w:pPr>
        <w:snapToGrid w:val="0"/>
        <w:spacing w:line="360" w:lineRule="auto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3C34464C">
      <w:pPr>
        <w:snapToGrid w:val="0"/>
        <w:spacing w:line="360" w:lineRule="auto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3C799618">
      <w:pPr>
        <w:snapToGrid w:val="0"/>
        <w:spacing w:line="360" w:lineRule="auto"/>
        <w:jc w:val="center"/>
        <w:rPr>
          <w:rFonts w:ascii="Times New Roman" w:hAnsi="Times New Roman" w:eastAsia="楷体" w:cs="Times New Roman"/>
          <w:b/>
          <w:sz w:val="24"/>
          <w:szCs w:val="24"/>
        </w:rPr>
      </w:pPr>
    </w:p>
    <w:p w14:paraId="1F7FF14F">
      <w:pPr>
        <w:snapToGrid w:val="0"/>
        <w:spacing w:line="360" w:lineRule="auto"/>
        <w:jc w:val="center"/>
        <w:rPr>
          <w:rFonts w:ascii="Times New Roman" w:hAnsi="Times New Roman" w:eastAsia="楷体" w:cs="Times New Roman"/>
          <w:b/>
          <w:sz w:val="24"/>
          <w:szCs w:val="24"/>
        </w:rPr>
      </w:pPr>
    </w:p>
    <w:p w14:paraId="0A592E55">
      <w:pPr>
        <w:snapToGrid w:val="0"/>
        <w:spacing w:line="360" w:lineRule="auto"/>
        <w:jc w:val="center"/>
        <w:rPr>
          <w:rFonts w:ascii="Times New Roman" w:hAnsi="Times New Roman" w:eastAsia="楷体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55"/>
          <w:szCs w:val="55"/>
          <w:shd w:val="clear" w:color="auto" w:fill="FFFFFF"/>
        </w:rPr>
        <w:t>Supplemental Digital Content files</w:t>
      </w:r>
      <w:r>
        <w:rPr>
          <w:rFonts w:ascii="Times New Roman" w:hAnsi="Times New Roman" w:cs="Times New Roman"/>
          <w:b/>
          <w:bCs/>
          <w:sz w:val="18"/>
          <w:szCs w:val="18"/>
        </w:rPr>
        <w:br w:type="textWrapping"/>
      </w:r>
      <w:r>
        <w:rPr>
          <w:rFonts w:ascii="Times New Roman" w:hAnsi="Times New Roman" w:cs="Times New Roman"/>
          <w:b/>
          <w:bCs/>
          <w:sz w:val="55"/>
          <w:szCs w:val="55"/>
          <w:shd w:val="clear" w:color="auto" w:fill="FFFFFF"/>
        </w:rPr>
        <w:t xml:space="preserve">Supplement </w:t>
      </w:r>
    </w:p>
    <w:p w14:paraId="1A53230F">
      <w:pPr>
        <w:snapToGrid w:val="0"/>
        <w:spacing w:line="360" w:lineRule="auto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0274C86D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eastAsia="等线" w:cs="Times New Roman"/>
          <w:b/>
          <w:bCs/>
          <w:sz w:val="36"/>
          <w:szCs w:val="36"/>
          <w:lang w:bidi="ar"/>
        </w:rPr>
        <w:t xml:space="preserve">Blood selenium and postoperative delirium in elderly orthopedic surgery patients: </w:t>
      </w:r>
      <w:r>
        <w:rPr>
          <w:rFonts w:hint="eastAsia" w:ascii="Times New Roman" w:hAnsi="Times New Roman" w:eastAsia="等线" w:cs="Times New Roman"/>
          <w:b/>
          <w:bCs/>
          <w:sz w:val="36"/>
          <w:szCs w:val="36"/>
          <w:lang w:val="en-US" w:eastAsia="zh-CN" w:bidi="ar"/>
        </w:rPr>
        <w:t>A</w:t>
      </w:r>
      <w:r>
        <w:rPr>
          <w:rFonts w:ascii="Times New Roman" w:hAnsi="Times New Roman" w:eastAsia="等线" w:cs="Times New Roman"/>
          <w:b/>
          <w:bCs/>
          <w:sz w:val="36"/>
          <w:szCs w:val="36"/>
          <w:lang w:bidi="ar"/>
        </w:rPr>
        <w:t xml:space="preserve"> prospective cohort study</w:t>
      </w:r>
    </w:p>
    <w:p w14:paraId="5539A622">
      <w:pPr>
        <w:snapToGrid w:val="0"/>
        <w:spacing w:line="360" w:lineRule="auto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1FA74A76">
      <w:pPr>
        <w:snapToGrid w:val="0"/>
        <w:spacing w:line="360" w:lineRule="auto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6FE04EC1">
      <w:pPr>
        <w:snapToGrid w:val="0"/>
        <w:spacing w:line="360" w:lineRule="auto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0B3A43AB">
      <w:pPr>
        <w:snapToGrid w:val="0"/>
        <w:spacing w:line="360" w:lineRule="auto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5542ACD8">
      <w:pPr>
        <w:snapToGrid w:val="0"/>
        <w:spacing w:line="360" w:lineRule="auto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79EDBD5F">
      <w:pPr>
        <w:snapToGrid w:val="0"/>
        <w:spacing w:line="360" w:lineRule="auto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4441825C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6BDF70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C2489B8">
      <w:pPr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CF724DB">
      <w:pPr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74A343E">
      <w:pPr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026C6B0">
      <w:pPr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F8A9284">
      <w:pPr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03BFE2E">
      <w:pPr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7112642">
      <w:pPr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DC124CC">
      <w:pPr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B3375E5">
      <w:pPr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D92C32F">
      <w:pPr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4115914">
      <w:pPr>
        <w:snapToGrid w:val="0"/>
        <w:spacing w:line="360" w:lineRule="auto"/>
        <w:jc w:val="left"/>
        <w:rPr>
          <w:rFonts w:hint="eastAsia" w:ascii="Times New Roman" w:hAnsi="Times New Roman" w:eastAsia="楷体" w:cs="Times New Roman"/>
          <w:b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>
        <w:rPr>
          <w:rFonts w:hint="eastAsia" w:ascii="Times New Roman" w:hAnsi="Times New Roman" w:eastAsia="楷体" w:cs="Times New Roman"/>
          <w:b/>
          <w:sz w:val="24"/>
          <w:szCs w:val="24"/>
        </w:rPr>
        <w:t xml:space="preserve"> Table S</w:t>
      </w:r>
      <w:r>
        <w:rPr>
          <w:rFonts w:hint="eastAsia" w:ascii="Times New Roman" w:hAnsi="Times New Roman" w:eastAsia="楷体" w:cs="Times New Roman"/>
          <w:b/>
          <w:sz w:val="24"/>
          <w:szCs w:val="24"/>
          <w:lang w:val="en-US" w:eastAsia="zh-CN"/>
        </w:rPr>
        <w:t xml:space="preserve">1. </w:t>
      </w:r>
    </w:p>
    <w:p w14:paraId="73B20ED0">
      <w:pPr>
        <w:snapToGrid w:val="0"/>
        <w:spacing w:line="360" w:lineRule="auto"/>
        <w:jc w:val="left"/>
        <w:rPr>
          <w:rFonts w:ascii="Times New Roman" w:hAnsi="Times New Roman" w:eastAsia="楷体" w:cs="Times New Roman"/>
          <w:bCs/>
          <w:sz w:val="24"/>
          <w:szCs w:val="24"/>
        </w:rPr>
      </w:pPr>
      <w:r>
        <w:rPr>
          <w:rFonts w:hint="eastAsia" w:ascii="Times New Roman" w:hAnsi="Times New Roman" w:eastAsia="楷体" w:cs="Times New Roman"/>
          <w:bCs/>
          <w:sz w:val="24"/>
          <w:szCs w:val="24"/>
        </w:rPr>
        <w:t>Intraoperative</w:t>
      </w:r>
      <w:r>
        <w:rPr>
          <w:rFonts w:ascii="Times New Roman" w:hAnsi="Times New Roman" w:eastAsia="楷体" w:cs="Times New Roman"/>
          <w:bCs/>
          <w:sz w:val="24"/>
          <w:szCs w:val="24"/>
        </w:rPr>
        <w:t xml:space="preserve"> </w:t>
      </w:r>
      <w:r>
        <w:rPr>
          <w:rFonts w:hint="eastAsia" w:ascii="Times New Roman" w:hAnsi="Times New Roman" w:eastAsia="楷体" w:cs="Times New Roman"/>
          <w:bCs/>
          <w:sz w:val="24"/>
          <w:szCs w:val="24"/>
        </w:rPr>
        <w:t>i</w:t>
      </w:r>
      <w:r>
        <w:rPr>
          <w:rFonts w:ascii="Times New Roman" w:hAnsi="Times New Roman" w:eastAsia="楷体" w:cs="Times New Roman"/>
          <w:bCs/>
          <w:sz w:val="24"/>
          <w:szCs w:val="24"/>
        </w:rPr>
        <w:t>nformation</w:t>
      </w:r>
      <w:r>
        <w:rPr>
          <w:rFonts w:hint="eastAsia" w:ascii="Times New Roman" w:hAnsi="Times New Roman" w:eastAsia="楷体" w:cs="Times New Roman"/>
          <w:bCs/>
          <w:sz w:val="24"/>
          <w:szCs w:val="24"/>
        </w:rPr>
        <w:t xml:space="preserve"> o</w:t>
      </w:r>
      <w:r>
        <w:rPr>
          <w:rFonts w:ascii="Times New Roman" w:hAnsi="Times New Roman" w:eastAsia="楷体" w:cs="Times New Roman"/>
          <w:bCs/>
          <w:sz w:val="24"/>
          <w:szCs w:val="24"/>
        </w:rPr>
        <w:t xml:space="preserve">f </w:t>
      </w:r>
      <w:r>
        <w:rPr>
          <w:rFonts w:hint="eastAsia" w:ascii="Times New Roman" w:hAnsi="Times New Roman" w:eastAsia="楷体" w:cs="Times New Roman"/>
          <w:bCs/>
          <w:sz w:val="24"/>
          <w:szCs w:val="24"/>
        </w:rPr>
        <w:t>i</w:t>
      </w:r>
      <w:r>
        <w:rPr>
          <w:rFonts w:ascii="Times New Roman" w:hAnsi="Times New Roman" w:eastAsia="楷体" w:cs="Times New Roman"/>
          <w:bCs/>
          <w:sz w:val="24"/>
          <w:szCs w:val="24"/>
        </w:rPr>
        <w:t>ndividual</w:t>
      </w:r>
      <w:r>
        <w:rPr>
          <w:rFonts w:hint="eastAsia" w:ascii="Times New Roman" w:hAnsi="Times New Roman" w:eastAsia="楷体" w:cs="Times New Roman"/>
          <w:bCs/>
          <w:sz w:val="24"/>
          <w:szCs w:val="24"/>
        </w:rPr>
        <w:t>s in both groups</w:t>
      </w:r>
    </w:p>
    <w:tbl>
      <w:tblPr>
        <w:tblStyle w:val="15"/>
        <w:tblW w:w="89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1780"/>
        <w:gridCol w:w="1773"/>
        <w:gridCol w:w="1731"/>
        <w:gridCol w:w="871"/>
      </w:tblGrid>
      <w:tr w14:paraId="66A1F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65" w:type="dxa"/>
            <w:tcBorders>
              <w:top w:val="single" w:color="000000" w:sz="12" w:space="0"/>
              <w:left w:val="nil"/>
              <w:bottom w:val="single" w:color="auto" w:sz="6" w:space="0"/>
              <w:right w:val="nil"/>
            </w:tcBorders>
          </w:tcPr>
          <w:p w14:paraId="10EF3D92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sz w:val="18"/>
                <w:szCs w:val="18"/>
              </w:rPr>
              <w:t>Information</w:t>
            </w:r>
          </w:p>
        </w:tc>
        <w:tc>
          <w:tcPr>
            <w:tcW w:w="1780" w:type="dxa"/>
            <w:tcBorders>
              <w:top w:val="single" w:color="000000" w:sz="12" w:space="0"/>
              <w:left w:val="nil"/>
              <w:bottom w:val="single" w:color="auto" w:sz="6" w:space="0"/>
              <w:right w:val="nil"/>
            </w:tcBorders>
          </w:tcPr>
          <w:p w14:paraId="4519D531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sz w:val="18"/>
                <w:szCs w:val="18"/>
              </w:rPr>
              <w:t>Total (n=29</w:t>
            </w:r>
            <w:r>
              <w:rPr>
                <w:rFonts w:hint="eastAsia" w:ascii="Times New Roman" w:hAnsi="Times New Roman" w:eastAsia="楷体" w:cs="Times New Roman"/>
                <w:b/>
                <w:bCs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楷体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773" w:type="dxa"/>
            <w:tcBorders>
              <w:top w:val="single" w:color="000000" w:sz="12" w:space="0"/>
              <w:left w:val="nil"/>
              <w:bottom w:val="single" w:color="auto" w:sz="6" w:space="0"/>
              <w:right w:val="nil"/>
            </w:tcBorders>
          </w:tcPr>
          <w:p w14:paraId="0B1499C3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sz w:val="18"/>
                <w:szCs w:val="18"/>
              </w:rPr>
              <w:t>POD (n=58)</w:t>
            </w:r>
          </w:p>
        </w:tc>
        <w:tc>
          <w:tcPr>
            <w:tcW w:w="1731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</w:tcPr>
          <w:p w14:paraId="305B82F7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sz w:val="18"/>
                <w:szCs w:val="18"/>
              </w:rPr>
              <w:t>non-POD (n=23</w:t>
            </w:r>
            <w:r>
              <w:rPr>
                <w:rFonts w:hint="eastAsia" w:ascii="Times New Roman" w:hAnsi="Times New Roman" w:eastAsia="楷体" w:cs="Times New Roman"/>
                <w:b/>
                <w:bCs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楷体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71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</w:tcPr>
          <w:p w14:paraId="41BC0F41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hint="eastAsia" w:ascii="Times New Roman" w:hAnsi="Times New Roman" w:eastAsia="楷体"/>
                <w:b/>
                <w:bCs/>
                <w:i/>
                <w:iCs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楷体"/>
                <w:b/>
                <w:bCs/>
                <w:sz w:val="18"/>
                <w:szCs w:val="18"/>
              </w:rPr>
              <w:t>value</w:t>
            </w:r>
          </w:p>
        </w:tc>
      </w:tr>
      <w:tr w14:paraId="6C248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65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6F4FEEA4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>Surgical spot</w:t>
            </w:r>
          </w:p>
        </w:tc>
        <w:tc>
          <w:tcPr>
            <w:tcW w:w="1780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6882FAF1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03E1E903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14:paraId="0CB4DC6E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color="000000" w:sz="6" w:space="0"/>
              <w:left w:val="nil"/>
              <w:bottom w:val="nil"/>
              <w:right w:val="nil"/>
            </w:tcBorders>
          </w:tcPr>
          <w:p w14:paraId="11790E41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</w:p>
        </w:tc>
      </w:tr>
      <w:tr w14:paraId="3C30F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4F53FB0E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 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>H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ip joint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63D3212C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90 (30.7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35AC9410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19 (32.8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38B9060D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71 (30.2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2D29EB34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</w:p>
        </w:tc>
      </w:tr>
      <w:tr w14:paraId="3F26B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3CD3CC5A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  K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>nee joint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245366D9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144 (49.1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2E9D579E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25 (43.1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6537187F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119 (50.6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0DB3A0A6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0.546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superscript"/>
              </w:rPr>
              <w:t xml:space="preserve">a </w:t>
            </w:r>
          </w:p>
        </w:tc>
      </w:tr>
      <w:tr w14:paraId="05A31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4A86D46E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  Sp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>ine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31906F88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59 (20.1)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0D1379A5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14 (24.1)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3F2E5C20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45 (19.1)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7090FF67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</w:p>
        </w:tc>
      </w:tr>
      <w:tr w14:paraId="435EC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5C1F6EBB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>Surgery duration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>min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3CE7E9EE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70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55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93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28061BD1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70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55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90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0D65D7ED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70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53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100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17195F04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0.632</w:t>
            </w:r>
          </w:p>
        </w:tc>
      </w:tr>
      <w:tr w14:paraId="10297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27029325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Dexamethasone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 xml:space="preserve"> mg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28D3B222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10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10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10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5C6584F6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10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10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10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3DAABD90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10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10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10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5A37223D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0.482</w:t>
            </w:r>
          </w:p>
        </w:tc>
      </w:tr>
      <w:tr w14:paraId="66707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20FBBD51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Midazolam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bidi="ar"/>
              </w:rPr>
              <w:t>mg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749A855E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>.0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>.0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>.0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66FB6926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>.0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1.7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>.0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55FDB656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>.0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>.0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>.0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0148F1CA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0.658</w:t>
            </w:r>
          </w:p>
        </w:tc>
      </w:tr>
      <w:tr w14:paraId="25B40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04C9663D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Propofol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bidi="ar"/>
              </w:rPr>
              <w:t>mg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3D63E3EA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318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233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459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3C2B52DD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348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231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446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6516AD5E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318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233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459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3205DB1F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0.643</w:t>
            </w:r>
          </w:p>
        </w:tc>
      </w:tr>
      <w:tr w14:paraId="24079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06153E10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bookmarkStart w:id="0" w:name="OLE_LINK65"/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Sufentanil</w:t>
            </w:r>
            <w:bookmarkEnd w:id="0"/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μg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77FAA19C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35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25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40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6516C78B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35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30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40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35F212A9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30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25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40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22C2BE34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0.098</w:t>
            </w:r>
          </w:p>
        </w:tc>
      </w:tr>
      <w:tr w14:paraId="49268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53562ED0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Remifentanil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 xml:space="preserve"> mg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2C4ED2A1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0.7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0.5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0.9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66F347FF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0.7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0.6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0.9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1E1DF5DA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0.7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0.5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0.9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7E6D7B77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0.499</w:t>
            </w:r>
          </w:p>
        </w:tc>
      </w:tr>
      <w:tr w14:paraId="59D36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66B61C6E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Sevoflurane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 xml:space="preserve"> ml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736D950E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16.8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13.7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22.2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4DFC25E8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17.7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13.3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21.1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5D471DCE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16.8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13.7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22.5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0C4F5097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0.919</w:t>
            </w:r>
          </w:p>
        </w:tc>
      </w:tr>
      <w:tr w14:paraId="36673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1D5B26F3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2A2B2E"/>
                <w:sz w:val="18"/>
                <w:szCs w:val="18"/>
                <w:shd w:val="clear" w:color="auto" w:fill="FFFFFF"/>
              </w:rPr>
              <w:t>Vecuronium</w:t>
            </w:r>
            <w:r>
              <w:rPr>
                <w:rFonts w:hint="eastAsia" w:ascii="Times New Roman" w:hAnsi="Times New Roman" w:cs="Times New Roman"/>
                <w:color w:val="2A2B2E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2A2B2E"/>
                <w:sz w:val="18"/>
                <w:szCs w:val="18"/>
                <w:shd w:val="clear" w:color="auto" w:fill="FFFFFF"/>
              </w:rPr>
              <w:t>bromide</w:t>
            </w:r>
            <w:r>
              <w:rPr>
                <w:rFonts w:hint="eastAsia" w:ascii="Times New Roman" w:hAnsi="Times New Roman" w:cs="Times New Roman"/>
                <w:color w:val="2A2B2E"/>
                <w:sz w:val="18"/>
                <w:szCs w:val="18"/>
                <w:shd w:val="clear" w:color="auto" w:fill="FFFFFF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color w:val="2A2B2E"/>
                <w:sz w:val="18"/>
                <w:szCs w:val="18"/>
                <w:shd w:val="clear" w:color="auto" w:fill="FFFFFF"/>
              </w:rPr>
              <w:t xml:space="preserve"> mg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4CF20454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8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>.0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6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>.0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8.5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7B9CF25D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8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>.0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8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>.0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10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>.0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4F0AD08C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8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>.0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6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>.0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8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>.0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6CEF60F3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0.354</w:t>
            </w:r>
          </w:p>
        </w:tc>
      </w:tr>
      <w:tr w14:paraId="0516E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31EF15E3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Intraoperative hypotension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3C2760F5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79 (27.0)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4DBF7962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18 (31.0)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45A09166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61 (26.0)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3BF6C601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0.435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vertAlign w:val="superscript"/>
              </w:rPr>
              <w:t>a</w:t>
            </w:r>
          </w:p>
        </w:tc>
      </w:tr>
      <w:tr w14:paraId="5AC1B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5AA63F1B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>Bleeding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 xml:space="preserve"> ml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36CFD84F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50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50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100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5EAA1EF2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50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50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100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3F72185C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50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50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100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171D5139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0.358</w:t>
            </w:r>
          </w:p>
        </w:tc>
      </w:tr>
      <w:tr w14:paraId="60CDD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65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55633E21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>Liquid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</w:rPr>
              <w:t xml:space="preserve"> ml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5B5360BD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1100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700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1100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28B309F4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1100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700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1100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7791A091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 xml:space="preserve">1100 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[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700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1100</w:t>
            </w:r>
            <w:r>
              <w:rPr>
                <w:rFonts w:hint="eastAsia" w:ascii="Times New Roman" w:hAnsi="Times New Roman" w:eastAsia="楷体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28C9CD18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楷体" w:cs="Times New Roman"/>
                <w:sz w:val="18"/>
                <w:szCs w:val="18"/>
                <w:vertAlign w:val="superscript"/>
              </w:rPr>
            </w:pPr>
            <w:r>
              <w:rPr>
                <w:rFonts w:hint="default" w:ascii="Times New Roman" w:hAnsi="Times New Roman" w:eastAsia="楷体" w:cs="Times New Roman"/>
                <w:sz w:val="18"/>
                <w:szCs w:val="18"/>
              </w:rPr>
              <w:t>0.656</w:t>
            </w:r>
          </w:p>
        </w:tc>
      </w:tr>
    </w:tbl>
    <w:p w14:paraId="57FE0E93">
      <w:pPr>
        <w:spacing w:line="360" w:lineRule="auto"/>
        <w:jc w:val="left"/>
        <w:rPr>
          <w:rFonts w:hint="eastAsia" w:ascii="Times New Roman" w:hAnsi="Times New Roman" w:cs="Times New Roman" w:eastAsiaTheme="minorEastAsia"/>
          <w:i w:val="0"/>
          <w:iCs w:val="0"/>
          <w:sz w:val="18"/>
          <w:szCs w:val="18"/>
          <w:lang w:val="en-US" w:eastAsia="zh-CN"/>
        </w:rPr>
      </w:pPr>
      <w:bookmarkStart w:id="1" w:name="_Hlk195471143"/>
      <w:r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>Abbreviations</w:t>
      </w:r>
      <w:r>
        <w:rPr>
          <w:rFonts w:hint="eastAsia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 xml:space="preserve">: 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>POD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,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 xml:space="preserve"> postoperative delirium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.</w:t>
      </w:r>
    </w:p>
    <w:p w14:paraId="48820BB2">
      <w:pPr>
        <w:spacing w:line="360" w:lineRule="auto"/>
        <w:jc w:val="left"/>
        <w:rPr>
          <w:rFonts w:ascii="Times New Roman" w:hAnsi="Times New Roman" w:cs="Times New Roman"/>
          <w:i w:val="0"/>
          <w:iCs w:val="0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</w:rPr>
        <w:t>Data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are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presented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a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s </w:t>
      </w:r>
      <w:r>
        <w:rPr>
          <w:rFonts w:hint="eastAsia" w:ascii="Times New Roman" w:hAnsi="Times New Roman" w:cs="Times New Roman"/>
          <w:sz w:val="18"/>
          <w:szCs w:val="18"/>
        </w:rPr>
        <w:t>median[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>Inter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>quartile Range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18"/>
          <w:szCs w:val="18"/>
        </w:rPr>
        <w:t>IQR]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and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(%)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>Numbers of patients with available data are mentioned between brackets.</w:t>
      </w:r>
      <w:bookmarkEnd w:id="1"/>
      <w:r>
        <w:rPr>
          <w:rFonts w:ascii="Times New Roman" w:hAnsi="Times New Roman" w:cs="Times New Roman"/>
          <w:i w:val="0"/>
          <w:iCs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iCs/>
          <w:sz w:val="18"/>
          <w:szCs w:val="18"/>
        </w:rPr>
        <w:t>P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-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>values refer to group comparison by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vertAlign w:val="superscript"/>
        </w:rPr>
        <w:t>a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>Pearson's chi-squared test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>.</w:t>
      </w:r>
    </w:p>
    <w:p w14:paraId="400793E4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7DC15EB3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7E5B072A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052EC621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6E739ACE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6406C13A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722FB997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304AC30C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122A68D0">
      <w:pPr>
        <w:spacing w:line="36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Table S2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. </w:t>
      </w:r>
    </w:p>
    <w:p w14:paraId="2BEFC8C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Inflammatory indicators </w:t>
      </w:r>
      <w:r>
        <w:rPr>
          <w:rFonts w:ascii="Times New Roman" w:hAnsi="Times New Roman" w:cs="Times New Roman"/>
          <w:sz w:val="24"/>
          <w:szCs w:val="24"/>
        </w:rPr>
        <w:t>of Individual</w:t>
      </w:r>
      <w:r>
        <w:rPr>
          <w:rFonts w:hint="eastAsia" w:ascii="Times New Roman" w:hAnsi="Times New Roman" w:cs="Times New Roman"/>
          <w:sz w:val="24"/>
          <w:szCs w:val="24"/>
        </w:rPr>
        <w:t>s in both groups</w:t>
      </w:r>
    </w:p>
    <w:tbl>
      <w:tblPr>
        <w:tblStyle w:val="15"/>
        <w:tblW w:w="8504" w:type="dxa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1944"/>
        <w:gridCol w:w="1833"/>
        <w:gridCol w:w="2103"/>
        <w:gridCol w:w="844"/>
      </w:tblGrid>
      <w:tr w14:paraId="7569CA2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0" w:type="dxa"/>
            <w:tcBorders>
              <w:top w:val="single" w:color="000000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28F7062A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楷体"/>
                <w:b/>
                <w:bCs/>
                <w:sz w:val="18"/>
                <w:szCs w:val="18"/>
              </w:rPr>
              <w:t>Inflammatory index</w:t>
            </w:r>
          </w:p>
        </w:tc>
        <w:tc>
          <w:tcPr>
            <w:tcW w:w="194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27B43ABF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/>
                <w:sz w:val="18"/>
                <w:szCs w:val="18"/>
              </w:rPr>
            </w:pPr>
            <w:r>
              <w:rPr>
                <w:rFonts w:hint="eastAsia" w:ascii="Times New Roman" w:hAnsi="Times New Roman" w:eastAsia="楷体"/>
                <w:b/>
                <w:bCs/>
                <w:sz w:val="18"/>
                <w:szCs w:val="18"/>
              </w:rPr>
              <w:t>Total (n=290)</w:t>
            </w:r>
          </w:p>
        </w:tc>
        <w:tc>
          <w:tcPr>
            <w:tcW w:w="1833" w:type="dxa"/>
            <w:tcBorders>
              <w:top w:val="single" w:color="000000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483E81C9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/>
                <w:sz w:val="18"/>
                <w:szCs w:val="18"/>
              </w:rPr>
            </w:pPr>
            <w:r>
              <w:rPr>
                <w:rFonts w:hint="eastAsia" w:ascii="Times New Roman" w:hAnsi="Times New Roman" w:eastAsia="楷体"/>
                <w:b/>
                <w:bCs/>
                <w:sz w:val="18"/>
                <w:szCs w:val="18"/>
              </w:rPr>
              <w:t>POD (n=58)</w:t>
            </w:r>
          </w:p>
        </w:tc>
        <w:tc>
          <w:tcPr>
            <w:tcW w:w="2103" w:type="dxa"/>
            <w:tcBorders>
              <w:top w:val="single" w:color="000000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2105D20A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/>
                <w:sz w:val="18"/>
                <w:szCs w:val="18"/>
              </w:rPr>
            </w:pPr>
            <w:r>
              <w:rPr>
                <w:rFonts w:hint="eastAsia" w:ascii="Times New Roman" w:hAnsi="Times New Roman" w:eastAsia="楷体"/>
                <w:b/>
                <w:bCs/>
                <w:sz w:val="18"/>
                <w:szCs w:val="18"/>
              </w:rPr>
              <w:t>non-POD ((n=232)</w:t>
            </w:r>
          </w:p>
        </w:tc>
        <w:tc>
          <w:tcPr>
            <w:tcW w:w="844" w:type="dxa"/>
            <w:tcBorders>
              <w:top w:val="single" w:color="000000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77579130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/>
                <w:sz w:val="18"/>
                <w:szCs w:val="18"/>
              </w:rPr>
            </w:pPr>
            <w:r>
              <w:rPr>
                <w:rFonts w:hint="eastAsia" w:ascii="Times New Roman" w:hAnsi="Times New Roman" w:eastAsia="楷体"/>
                <w:b/>
                <w:bCs/>
                <w:i/>
                <w:iCs/>
                <w:sz w:val="18"/>
                <w:szCs w:val="18"/>
              </w:rPr>
              <w:t>P-</w:t>
            </w:r>
            <w:r>
              <w:rPr>
                <w:rFonts w:hint="eastAsia" w:ascii="Times New Roman" w:hAnsi="Times New Roman" w:eastAsia="楷体"/>
                <w:b/>
                <w:bCs/>
                <w:sz w:val="18"/>
                <w:szCs w:val="18"/>
              </w:rPr>
              <w:t>value</w:t>
            </w:r>
          </w:p>
        </w:tc>
      </w:tr>
      <w:tr w14:paraId="5CDBC98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767E4EB4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>CRP (pre)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mg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L</w:t>
            </w:r>
          </w:p>
        </w:tc>
        <w:tc>
          <w:tcPr>
            <w:tcW w:w="194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669E434D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3.78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2.09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9.53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1833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6088E12C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4.47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1.97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11.9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2103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7E334D04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bookmarkStart w:id="2" w:name="OLE_LINK169"/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3.58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2.10</w:t>
            </w:r>
            <w:bookmarkEnd w:id="2"/>
            <w:r>
              <w:rPr>
                <w:rFonts w:hint="eastAsia" w:ascii="Times New Roman" w:hAnsi="Times New Roman" w:eastAsia="楷体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8.55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84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111E9236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/>
                <w:sz w:val="18"/>
                <w:szCs w:val="18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>0.573</w:t>
            </w:r>
          </w:p>
        </w:tc>
      </w:tr>
      <w:tr w14:paraId="28B7100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01F4E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>CRP (post)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mg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L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DE18F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14.40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9.35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25.80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2E5EB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>1</w:t>
            </w:r>
            <w:bookmarkStart w:id="3" w:name="OLE_LINK181"/>
            <w:r>
              <w:rPr>
                <w:rFonts w:hint="eastAsia" w:ascii="Times New Roman" w:hAnsi="Times New Roman" w:eastAsia="楷体"/>
                <w:sz w:val="18"/>
                <w:szCs w:val="18"/>
              </w:rPr>
              <w:t>8.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0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9.56</w:t>
            </w:r>
            <w:bookmarkEnd w:id="3"/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30.63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B4056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bookmarkStart w:id="4" w:name="OLE_LINK225"/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14.40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9.22</w:t>
            </w:r>
            <w:bookmarkEnd w:id="4"/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23.95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00686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/>
                <w:sz w:val="18"/>
                <w:szCs w:val="18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>0.217</w:t>
            </w:r>
          </w:p>
        </w:tc>
      </w:tr>
      <w:tr w14:paraId="5DB6F15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DE197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/>
                <w:sz w:val="18"/>
                <w:szCs w:val="18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>N/L (pre)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40E8E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2.51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1.77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3.52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F6056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2.66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1.75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3.89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F9BBD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2.47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1.75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3.47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642A0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/>
                <w:sz w:val="18"/>
                <w:szCs w:val="18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>0.640</w:t>
            </w:r>
          </w:p>
        </w:tc>
      </w:tr>
      <w:tr w14:paraId="703D5A8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5285D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/>
                <w:sz w:val="18"/>
                <w:szCs w:val="18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>N/L (post)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A5380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9.86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7.22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13.2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21591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9.12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6.76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12.67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21AC4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9.99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7.32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13.27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9A8CC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/>
                <w:sz w:val="18"/>
                <w:szCs w:val="18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>0.230</w:t>
            </w:r>
          </w:p>
        </w:tc>
      </w:tr>
      <w:tr w14:paraId="6AFBED1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78ECA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/>
                <w:sz w:val="18"/>
                <w:szCs w:val="18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>PIV (pre)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DDBBD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231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137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407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39AFB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242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124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452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D674D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230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140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398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0BFD3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/>
                <w:sz w:val="18"/>
                <w:szCs w:val="18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>0.909</w:t>
            </w:r>
          </w:p>
        </w:tc>
      </w:tr>
      <w:tr w14:paraId="44B1990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3C434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/>
                <w:sz w:val="18"/>
                <w:szCs w:val="18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>PIV (post)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ADCED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1121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689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1781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A485C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938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617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1689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6F093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1153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695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1828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81A9C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/>
                <w:sz w:val="18"/>
                <w:szCs w:val="18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>0.139</w:t>
            </w:r>
          </w:p>
        </w:tc>
      </w:tr>
      <w:tr w14:paraId="439F791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890E2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/>
                <w:sz w:val="18"/>
                <w:szCs w:val="18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>SIRI (pre)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B2B28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1.20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0.80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1.90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37D83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1.26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0.76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2.12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2FE95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1.09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0.76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1.90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D547F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/>
                <w:sz w:val="18"/>
                <w:szCs w:val="18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>0.800</w:t>
            </w:r>
          </w:p>
        </w:tc>
      </w:tr>
      <w:tr w14:paraId="0412EEF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4F883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/>
                <w:sz w:val="18"/>
                <w:szCs w:val="18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>SIRI (post)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EAA48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5.90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4.00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9.10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76D30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5.12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3.46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8.21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4ACF8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6.10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4.09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9.31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C7A76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/>
                <w:sz w:val="18"/>
                <w:szCs w:val="18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>0.094</w:t>
            </w:r>
          </w:p>
        </w:tc>
      </w:tr>
      <w:tr w14:paraId="45F5CA6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54095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/>
                <w:sz w:val="18"/>
                <w:szCs w:val="18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>SII (pre)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B7455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494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331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771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AE9C6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555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326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805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72560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476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332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746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1A28C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/>
                <w:sz w:val="18"/>
                <w:szCs w:val="18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>0.901</w:t>
            </w:r>
          </w:p>
        </w:tc>
      </w:tr>
      <w:tr w14:paraId="1A3ACD0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0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01636AED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/>
                <w:sz w:val="18"/>
                <w:szCs w:val="18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>SII (post)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5E09C9D5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1799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1264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2580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3890D203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1772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1171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2387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26D59608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 xml:space="preserve">1861 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[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1270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楷体"/>
                <w:sz w:val="18"/>
                <w:szCs w:val="18"/>
              </w:rPr>
              <w:t>2631</w:t>
            </w:r>
            <w:r>
              <w:rPr>
                <w:rFonts w:hint="eastAsia" w:ascii="Times New Roman" w:hAnsi="Times New Roman" w:eastAsia="楷体"/>
                <w:sz w:val="18"/>
                <w:szCs w:val="18"/>
                <w:lang w:eastAsia="zh-CN"/>
              </w:rPr>
              <w:t>]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6AE97BAF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楷体"/>
                <w:sz w:val="18"/>
                <w:szCs w:val="18"/>
              </w:rPr>
            </w:pPr>
            <w:r>
              <w:rPr>
                <w:rFonts w:hint="eastAsia" w:ascii="Times New Roman" w:hAnsi="Times New Roman" w:eastAsia="楷体"/>
                <w:sz w:val="18"/>
                <w:szCs w:val="18"/>
              </w:rPr>
              <w:t>0.344</w:t>
            </w:r>
          </w:p>
        </w:tc>
      </w:tr>
    </w:tbl>
    <w:p w14:paraId="70B05E4B">
      <w:pPr>
        <w:spacing w:line="360" w:lineRule="auto"/>
        <w:jc w:val="left"/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>Abbreviations</w:t>
      </w:r>
      <w:r>
        <w:rPr>
          <w:rFonts w:hint="eastAsia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 xml:space="preserve">: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POD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>,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 xml:space="preserve"> postoperative delirium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;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CRP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>,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 xml:space="preserve"> C reactive protein; Pre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>,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 xml:space="preserve"> preoperative;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 xml:space="preserve"> 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Post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>,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 xml:space="preserve"> postoperative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;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N/L: Neutrophil to lymphocyte ratio;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PIV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 xml:space="preserve">,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Pan-immune inflammatory values: PIV= Monocyte count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×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platelet count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×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neutrophil count/lymphocyte count;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SIRI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>,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 xml:space="preserve"> Systemic inflammatory response index: SIRI=neutrophil count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×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Monocyte count/lymphocyte count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 xml:space="preserve">; </w:t>
      </w:r>
      <w:r>
        <w:rPr>
          <w:rFonts w:hint="eastAsia" w:ascii="Times New Roman" w:hAnsi="Times New Roman" w:cs="Times New Roman" w:eastAsiaTheme="minorEastAsia"/>
          <w:b w:val="0"/>
          <w:bCs w:val="0"/>
          <w:i w:val="0"/>
          <w:iCs w:val="0"/>
          <w:kern w:val="2"/>
          <w:sz w:val="18"/>
          <w:szCs w:val="18"/>
          <w:lang w:val="en-US" w:eastAsia="zh-CN" w:bidi="ar-SA"/>
        </w:rPr>
        <w:t>SII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kern w:val="2"/>
          <w:sz w:val="18"/>
          <w:szCs w:val="18"/>
          <w:lang w:val="en-US" w:eastAsia="zh-CN" w:bidi="ar-SA"/>
        </w:rPr>
        <w:t>,</w:t>
      </w:r>
      <w:r>
        <w:rPr>
          <w:rFonts w:hint="eastAsia" w:ascii="Times New Roman" w:hAnsi="Times New Roman" w:cs="Times New Roman" w:eastAsiaTheme="minorEastAsia"/>
          <w:b w:val="0"/>
          <w:bCs w:val="0"/>
          <w:i w:val="0"/>
          <w:iCs w:val="0"/>
          <w:kern w:val="2"/>
          <w:sz w:val="18"/>
          <w:szCs w:val="18"/>
          <w:lang w:val="en-US" w:eastAsia="zh-CN" w:bidi="ar-SA"/>
        </w:rPr>
        <w:t xml:space="preserve"> Systemic immune response index: SII=platelet count × neutrophil count/lymphocyte count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 xml:space="preserve">. </w:t>
      </w:r>
    </w:p>
    <w:p w14:paraId="392EBE5B">
      <w:pPr>
        <w:spacing w:line="360" w:lineRule="auto"/>
        <w:jc w:val="left"/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Data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are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presented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a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 xml:space="preserve">s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median[IQR]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 xml:space="preserve">.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Numbers of patients with available data are mentioned between brackets.</w:t>
      </w:r>
    </w:p>
    <w:p w14:paraId="514973D6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09EDBD3A">
      <w:pPr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</w:rPr>
        <w:br w:type="page"/>
      </w:r>
    </w:p>
    <w:p w14:paraId="15983D96">
      <w:pPr>
        <w:snapToGrid w:val="0"/>
        <w:spacing w:line="360" w:lineRule="auto"/>
        <w:jc w:val="left"/>
        <w:rPr>
          <w:rFonts w:hint="eastAsia" w:ascii="Times New Roman" w:hAnsi="Times New Roman" w:eastAsia="楷体"/>
          <w:b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楷体"/>
          <w:b/>
          <w:sz w:val="24"/>
          <w:szCs w:val="24"/>
        </w:rPr>
        <w:t xml:space="preserve">Table </w:t>
      </w:r>
      <w:r>
        <w:rPr>
          <w:rFonts w:hint="eastAsia" w:ascii="Times New Roman" w:hAnsi="Times New Roman" w:eastAsia="楷体"/>
          <w:b/>
          <w:sz w:val="24"/>
          <w:szCs w:val="24"/>
        </w:rPr>
        <w:t>S</w:t>
      </w:r>
      <w:r>
        <w:rPr>
          <w:rFonts w:ascii="Times New Roman" w:hAnsi="Times New Roman" w:eastAsia="楷体"/>
          <w:b/>
          <w:sz w:val="24"/>
          <w:szCs w:val="24"/>
        </w:rPr>
        <w:t>3</w:t>
      </w:r>
      <w:r>
        <w:rPr>
          <w:rFonts w:hint="eastAsia" w:ascii="Times New Roman" w:hAnsi="Times New Roman" w:eastAsia="楷体"/>
          <w:b/>
          <w:sz w:val="24"/>
          <w:szCs w:val="24"/>
          <w:lang w:val="en-US" w:eastAsia="zh-CN"/>
        </w:rPr>
        <w:t xml:space="preserve">. </w:t>
      </w:r>
    </w:p>
    <w:p w14:paraId="0080FD71">
      <w:pPr>
        <w:snapToGrid w:val="0"/>
        <w:spacing w:line="360" w:lineRule="auto"/>
        <w:jc w:val="left"/>
        <w:rPr>
          <w:rFonts w:ascii="Times New Roman" w:hAnsi="Times New Roman" w:eastAsia="楷体"/>
          <w:b/>
          <w:sz w:val="24"/>
          <w:szCs w:val="24"/>
        </w:rPr>
      </w:pPr>
      <w:r>
        <w:rPr>
          <w:rFonts w:hint="eastAsia" w:ascii="Times New Roman" w:hAnsi="Times New Roman" w:eastAsia="楷体"/>
          <w:b w:val="0"/>
          <w:bCs/>
          <w:sz w:val="24"/>
          <w:szCs w:val="24"/>
          <w:lang w:val="en-US" w:eastAsia="zh-CN"/>
        </w:rPr>
        <w:t>C</w:t>
      </w:r>
      <w:r>
        <w:rPr>
          <w:rFonts w:ascii="Times New Roman" w:hAnsi="Times New Roman" w:eastAsia="楷体"/>
          <w:sz w:val="24"/>
          <w:szCs w:val="24"/>
        </w:rPr>
        <w:t xml:space="preserve">omparison of the incidence of </w:t>
      </w:r>
      <w:r>
        <w:rPr>
          <w:rFonts w:hint="eastAsia" w:ascii="Times New Roman" w:hAnsi="Times New Roman" w:eastAsia="楷体"/>
          <w:sz w:val="24"/>
          <w:szCs w:val="24"/>
        </w:rPr>
        <w:t>postoperative delirium</w:t>
      </w:r>
      <w:r>
        <w:rPr>
          <w:rFonts w:ascii="Times New Roman" w:hAnsi="Times New Roman" w:eastAsia="楷体"/>
          <w:sz w:val="24"/>
          <w:szCs w:val="24"/>
        </w:rPr>
        <w:t xml:space="preserve"> between the low </w:t>
      </w:r>
      <w:r>
        <w:rPr>
          <w:rFonts w:hint="eastAsia" w:ascii="Times New Roman" w:hAnsi="Times New Roman" w:eastAsia="楷体"/>
          <w:sz w:val="24"/>
          <w:szCs w:val="24"/>
        </w:rPr>
        <w:t>selenium</w:t>
      </w:r>
      <w:r>
        <w:rPr>
          <w:rFonts w:ascii="Times New Roman" w:hAnsi="Times New Roman" w:eastAsia="楷体"/>
          <w:sz w:val="24"/>
          <w:szCs w:val="24"/>
        </w:rPr>
        <w:t xml:space="preserve"> and high </w:t>
      </w:r>
      <w:r>
        <w:rPr>
          <w:rFonts w:hint="eastAsia" w:ascii="Times New Roman" w:hAnsi="Times New Roman" w:eastAsia="楷体"/>
          <w:sz w:val="24"/>
          <w:szCs w:val="24"/>
        </w:rPr>
        <w:t>selenium</w:t>
      </w:r>
      <w:r>
        <w:rPr>
          <w:rFonts w:ascii="Times New Roman" w:hAnsi="Times New Roman" w:eastAsia="楷体"/>
          <w:sz w:val="24"/>
          <w:szCs w:val="24"/>
        </w:rPr>
        <w:t xml:space="preserve"> groups</w:t>
      </w:r>
    </w:p>
    <w:tbl>
      <w:tblPr>
        <w:tblStyle w:val="15"/>
        <w:tblW w:w="8931" w:type="dxa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702"/>
        <w:gridCol w:w="1559"/>
        <w:gridCol w:w="803"/>
        <w:gridCol w:w="1427"/>
        <w:gridCol w:w="1598"/>
        <w:gridCol w:w="850"/>
      </w:tblGrid>
      <w:tr w14:paraId="5214146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2" w:type="dxa"/>
            <w:tcBorders>
              <w:top w:val="single" w:color="000000" w:sz="12" w:space="0"/>
              <w:left w:val="nil"/>
              <w:bottom w:val="single" w:color="auto" w:sz="6" w:space="0"/>
              <w:right w:val="nil"/>
              <w:tl2br w:val="nil"/>
              <w:tr2bl w:val="nil"/>
            </w:tcBorders>
            <w:vAlign w:val="center"/>
          </w:tcPr>
          <w:p w14:paraId="6F87815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eastAsia="楷体"/>
                <w:b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color="000000" w:sz="12" w:space="0"/>
              <w:left w:val="nil"/>
              <w:bottom w:val="single" w:color="auto" w:sz="6" w:space="0"/>
              <w:right w:val="nil"/>
              <w:tl2br w:val="nil"/>
              <w:tr2bl w:val="nil"/>
            </w:tcBorders>
            <w:vAlign w:val="center"/>
          </w:tcPr>
          <w:p w14:paraId="3C799D4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eastAsia="楷体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楷体"/>
                <w:b/>
                <w:sz w:val="18"/>
                <w:szCs w:val="18"/>
              </w:rPr>
              <w:t>High Se group (pre) (n=147)</w:t>
            </w:r>
          </w:p>
        </w:tc>
        <w:tc>
          <w:tcPr>
            <w:tcW w:w="1559" w:type="dxa"/>
            <w:tcBorders>
              <w:top w:val="single" w:color="000000" w:sz="12" w:space="0"/>
              <w:left w:val="nil"/>
              <w:bottom w:val="single" w:color="auto" w:sz="6" w:space="0"/>
              <w:right w:val="nil"/>
              <w:tl2br w:val="nil"/>
              <w:tr2bl w:val="nil"/>
            </w:tcBorders>
            <w:vAlign w:val="center"/>
          </w:tcPr>
          <w:p w14:paraId="20948F4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eastAsia="楷体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楷体"/>
                <w:b/>
                <w:sz w:val="18"/>
                <w:szCs w:val="18"/>
              </w:rPr>
              <w:t>Low Se group (pre) (n=146)</w:t>
            </w:r>
          </w:p>
        </w:tc>
        <w:tc>
          <w:tcPr>
            <w:tcW w:w="803" w:type="dxa"/>
            <w:tcBorders>
              <w:top w:val="single" w:color="000000" w:sz="12" w:space="0"/>
              <w:left w:val="nil"/>
              <w:bottom w:val="single" w:color="auto" w:sz="6" w:space="0"/>
              <w:right w:val="nil"/>
              <w:tl2br w:val="nil"/>
              <w:tr2bl w:val="nil"/>
            </w:tcBorders>
            <w:vAlign w:val="center"/>
          </w:tcPr>
          <w:p w14:paraId="7E497DB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eastAsia="楷体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楷体"/>
                <w:b/>
                <w:i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楷体"/>
                <w:b/>
                <w:sz w:val="18"/>
                <w:szCs w:val="18"/>
              </w:rPr>
              <w:t>-value</w:t>
            </w:r>
          </w:p>
        </w:tc>
        <w:tc>
          <w:tcPr>
            <w:tcW w:w="1427" w:type="dxa"/>
            <w:tcBorders>
              <w:top w:val="single" w:color="000000" w:sz="12" w:space="0"/>
              <w:left w:val="nil"/>
              <w:bottom w:val="single" w:color="auto" w:sz="6" w:space="0"/>
              <w:right w:val="nil"/>
              <w:tl2br w:val="nil"/>
              <w:tr2bl w:val="nil"/>
            </w:tcBorders>
            <w:vAlign w:val="center"/>
          </w:tcPr>
          <w:p w14:paraId="6469D1E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eastAsia="楷体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楷体"/>
                <w:b/>
                <w:sz w:val="18"/>
                <w:szCs w:val="18"/>
              </w:rPr>
              <w:t>High Se group (post) (n=147)</w:t>
            </w:r>
          </w:p>
        </w:tc>
        <w:tc>
          <w:tcPr>
            <w:tcW w:w="1598" w:type="dxa"/>
            <w:tcBorders>
              <w:top w:val="single" w:color="000000" w:sz="12" w:space="0"/>
              <w:left w:val="nil"/>
              <w:bottom w:val="single" w:color="auto" w:sz="6" w:space="0"/>
              <w:right w:val="nil"/>
              <w:tl2br w:val="nil"/>
              <w:tr2bl w:val="nil"/>
            </w:tcBorders>
            <w:vAlign w:val="center"/>
          </w:tcPr>
          <w:p w14:paraId="4AA5F90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eastAsia="楷体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楷体"/>
                <w:b/>
                <w:sz w:val="18"/>
                <w:szCs w:val="18"/>
              </w:rPr>
              <w:t>Low Se group (post) (n=146)</w:t>
            </w:r>
          </w:p>
        </w:tc>
        <w:tc>
          <w:tcPr>
            <w:tcW w:w="850" w:type="dxa"/>
            <w:tcBorders>
              <w:top w:val="single" w:color="000000" w:sz="12" w:space="0"/>
              <w:left w:val="nil"/>
              <w:bottom w:val="single" w:color="auto" w:sz="6" w:space="0"/>
              <w:right w:val="nil"/>
              <w:tl2br w:val="nil"/>
              <w:tr2bl w:val="nil"/>
            </w:tcBorders>
            <w:vAlign w:val="center"/>
          </w:tcPr>
          <w:p w14:paraId="5C4EB21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eastAsia="楷体"/>
                <w:b/>
                <w:i/>
                <w:sz w:val="18"/>
                <w:szCs w:val="18"/>
              </w:rPr>
            </w:pPr>
            <w:r>
              <w:rPr>
                <w:rFonts w:hint="default" w:ascii="Times New Roman" w:hAnsi="Times New Roman" w:eastAsia="楷体"/>
                <w:b/>
                <w:i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楷体"/>
                <w:b/>
                <w:sz w:val="18"/>
                <w:szCs w:val="18"/>
              </w:rPr>
              <w:t>-value</w:t>
            </w:r>
          </w:p>
        </w:tc>
      </w:tr>
      <w:tr w14:paraId="3B48CD9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2" w:type="dxa"/>
            <w:tcBorders>
              <w:top w:val="single" w:color="auto" w:sz="6" w:space="0"/>
              <w:left w:val="nil"/>
              <w:bottom w:val="single" w:color="000000" w:sz="12" w:space="0"/>
              <w:right w:val="nil"/>
              <w:tl2br w:val="nil"/>
              <w:tr2bl w:val="nil"/>
            </w:tcBorders>
            <w:vAlign w:val="center"/>
          </w:tcPr>
          <w:p w14:paraId="67603FC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楷体" w:hAnsi="楷体" w:eastAsia="楷体"/>
                <w:sz w:val="18"/>
                <w:szCs w:val="18"/>
              </w:rPr>
            </w:pPr>
            <w:r>
              <w:rPr>
                <w:rFonts w:hint="default" w:ascii="Times New Roman" w:hAnsi="Times New Roman" w:eastAsia="楷体"/>
                <w:sz w:val="18"/>
                <w:szCs w:val="18"/>
              </w:rPr>
              <w:t>POD</w:t>
            </w:r>
          </w:p>
        </w:tc>
        <w:tc>
          <w:tcPr>
            <w:tcW w:w="1702" w:type="dxa"/>
            <w:tcBorders>
              <w:top w:val="single" w:color="auto" w:sz="6" w:space="0"/>
              <w:left w:val="nil"/>
              <w:bottom w:val="single" w:color="000000" w:sz="12" w:space="0"/>
              <w:right w:val="nil"/>
              <w:tl2br w:val="nil"/>
              <w:tr2bl w:val="nil"/>
            </w:tcBorders>
            <w:vAlign w:val="center"/>
          </w:tcPr>
          <w:p w14:paraId="727CDA7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楷体" w:hAnsi="楷体" w:eastAsia="楷体"/>
                <w:sz w:val="18"/>
                <w:szCs w:val="18"/>
              </w:rPr>
            </w:pPr>
            <w:r>
              <w:rPr>
                <w:rFonts w:hint="default" w:ascii="Times New Roman" w:hAnsi="Times New Roman" w:eastAsia="楷体"/>
                <w:sz w:val="18"/>
                <w:szCs w:val="18"/>
              </w:rPr>
              <w:t>24 (16.4)</w:t>
            </w:r>
          </w:p>
        </w:tc>
        <w:tc>
          <w:tcPr>
            <w:tcW w:w="1559" w:type="dxa"/>
            <w:tcBorders>
              <w:top w:val="single" w:color="auto" w:sz="6" w:space="0"/>
              <w:left w:val="nil"/>
              <w:bottom w:val="single" w:color="000000" w:sz="12" w:space="0"/>
              <w:right w:val="nil"/>
              <w:tl2br w:val="nil"/>
              <w:tr2bl w:val="nil"/>
            </w:tcBorders>
            <w:vAlign w:val="center"/>
          </w:tcPr>
          <w:p w14:paraId="3AD5E12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eastAsia="楷体"/>
                <w:sz w:val="18"/>
                <w:szCs w:val="18"/>
              </w:rPr>
            </w:pPr>
            <w:r>
              <w:rPr>
                <w:rFonts w:hint="default" w:ascii="Times New Roman" w:hAnsi="Times New Roman" w:eastAsia="楷体"/>
                <w:sz w:val="18"/>
                <w:szCs w:val="18"/>
              </w:rPr>
              <w:t>34 (23.2)</w:t>
            </w:r>
          </w:p>
        </w:tc>
        <w:tc>
          <w:tcPr>
            <w:tcW w:w="803" w:type="dxa"/>
            <w:tcBorders>
              <w:top w:val="single" w:color="auto" w:sz="6" w:space="0"/>
              <w:left w:val="nil"/>
              <w:bottom w:val="single" w:color="000000" w:sz="12" w:space="0"/>
              <w:right w:val="nil"/>
              <w:tl2br w:val="nil"/>
              <w:tr2bl w:val="nil"/>
            </w:tcBorders>
            <w:vAlign w:val="center"/>
          </w:tcPr>
          <w:p w14:paraId="3A2B211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楷体" w:hAnsi="楷体" w:eastAsia="楷体"/>
                <w:sz w:val="18"/>
                <w:szCs w:val="18"/>
              </w:rPr>
            </w:pPr>
            <w:r>
              <w:rPr>
                <w:rFonts w:hint="default" w:ascii="Times New Roman" w:hAnsi="Times New Roman" w:eastAsia="楷体"/>
                <w:sz w:val="18"/>
                <w:szCs w:val="18"/>
              </w:rPr>
              <w:t>0.135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000000" w:sz="12" w:space="0"/>
              <w:right w:val="nil"/>
              <w:tl2br w:val="nil"/>
              <w:tr2bl w:val="nil"/>
            </w:tcBorders>
            <w:vAlign w:val="center"/>
          </w:tcPr>
          <w:p w14:paraId="23A0F7E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楷体" w:hAnsi="楷体" w:eastAsia="楷体"/>
                <w:sz w:val="18"/>
                <w:szCs w:val="18"/>
              </w:rPr>
            </w:pPr>
            <w:r>
              <w:rPr>
                <w:rFonts w:hint="default" w:ascii="Times New Roman" w:hAnsi="Times New Roman" w:eastAsia="楷体"/>
                <w:sz w:val="18"/>
                <w:szCs w:val="18"/>
              </w:rPr>
              <w:t>20 (13.6)</w:t>
            </w:r>
          </w:p>
        </w:tc>
        <w:tc>
          <w:tcPr>
            <w:tcW w:w="1598" w:type="dxa"/>
            <w:tcBorders>
              <w:top w:val="single" w:color="auto" w:sz="6" w:space="0"/>
              <w:left w:val="nil"/>
              <w:bottom w:val="single" w:color="000000" w:sz="12" w:space="0"/>
              <w:right w:val="nil"/>
              <w:tl2br w:val="nil"/>
              <w:tr2bl w:val="nil"/>
            </w:tcBorders>
            <w:vAlign w:val="center"/>
          </w:tcPr>
          <w:p w14:paraId="7153012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楷体" w:hAnsi="楷体" w:eastAsia="楷体"/>
                <w:sz w:val="18"/>
                <w:szCs w:val="18"/>
              </w:rPr>
            </w:pPr>
            <w:r>
              <w:rPr>
                <w:rFonts w:hint="default" w:ascii="Times New Roman" w:hAnsi="Times New Roman" w:eastAsia="楷体"/>
                <w:sz w:val="18"/>
                <w:szCs w:val="18"/>
              </w:rPr>
              <w:t>38 (25.8)</w:t>
            </w:r>
          </w:p>
        </w:tc>
        <w:tc>
          <w:tcPr>
            <w:tcW w:w="850" w:type="dxa"/>
            <w:tcBorders>
              <w:top w:val="single" w:color="auto" w:sz="6" w:space="0"/>
              <w:left w:val="nil"/>
              <w:bottom w:val="single" w:color="000000" w:sz="12" w:space="0"/>
              <w:right w:val="nil"/>
              <w:tl2br w:val="nil"/>
              <w:tr2bl w:val="nil"/>
            </w:tcBorders>
            <w:vAlign w:val="center"/>
          </w:tcPr>
          <w:p w14:paraId="186023C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eastAsia="楷体"/>
                <w:sz w:val="18"/>
                <w:szCs w:val="18"/>
              </w:rPr>
            </w:pPr>
            <w:r>
              <w:rPr>
                <w:rFonts w:hint="default" w:ascii="Times New Roman" w:hAnsi="Times New Roman" w:eastAsia="楷体"/>
                <w:sz w:val="18"/>
                <w:szCs w:val="18"/>
              </w:rPr>
              <w:t>0.009</w:t>
            </w:r>
          </w:p>
        </w:tc>
      </w:tr>
    </w:tbl>
    <w:p w14:paraId="11364387">
      <w:pPr>
        <w:spacing w:line="360" w:lineRule="auto"/>
        <w:jc w:val="left"/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>Abbreviations</w:t>
      </w:r>
      <w:r>
        <w:rPr>
          <w:rFonts w:hint="eastAsia" w:ascii="Times New Roman" w:hAnsi="Times New Roman" w:eastAsia="等线" w:cs="Times New Roman"/>
          <w:b/>
          <w:bCs/>
          <w:kern w:val="2"/>
          <w:sz w:val="18"/>
          <w:szCs w:val="18"/>
          <w:lang w:val="en-US" w:eastAsia="zh-CN" w:bidi="ar"/>
        </w:rPr>
        <w:t xml:space="preserve">: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Se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>,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 xml:space="preserve"> selenium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</w:rPr>
        <w:t xml:space="preserve">;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pre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>,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 xml:space="preserve"> preoperative;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post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>,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 xml:space="preserve"> postoperative;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POD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 xml:space="preserve">,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postoperative delirium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  <w:lang w:val="en-US" w:eastAsia="zh-CN"/>
        </w:rPr>
        <w:t xml:space="preserve">. </w:t>
      </w:r>
    </w:p>
    <w:p w14:paraId="6A13669D">
      <w:pPr>
        <w:spacing w:line="360" w:lineRule="auto"/>
        <w:jc w:val="left"/>
        <w:rPr>
          <w:rFonts w:hint="eastAsia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</w:rPr>
        <w:t>Data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are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presented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a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s </w:t>
      </w:r>
      <w:r>
        <w:rPr>
          <w:rFonts w:hint="eastAsia" w:ascii="Times New Roman" w:hAnsi="Times New Roman" w:cs="Times New Roman"/>
          <w:sz w:val="18"/>
          <w:szCs w:val="18"/>
        </w:rPr>
        <w:t>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(%)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.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 xml:space="preserve">The </w:t>
      </w:r>
      <w:r>
        <w:rPr>
          <w:rFonts w:ascii="Times New Roman" w:hAnsi="Times New Roman" w:cs="Times New Roman"/>
          <w:b w:val="0"/>
          <w:bCs w:val="0"/>
          <w:i/>
          <w:iCs/>
          <w:sz w:val="18"/>
          <w:szCs w:val="18"/>
        </w:rPr>
        <w:t>P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-value was calculated using the Pearson's chi-squared test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.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 xml:space="preserve"> </w:t>
      </w:r>
      <w:bookmarkStart w:id="5" w:name="_GoBack"/>
      <w:bookmarkEnd w:id="5"/>
    </w:p>
    <w:p w14:paraId="055496D1">
      <w:pPr>
        <w:spacing w:line="360" w:lineRule="auto"/>
        <w:jc w:val="center"/>
        <w:rPr>
          <w:rFonts w:hint="eastAsia"/>
        </w:rPr>
      </w:pPr>
    </w:p>
    <w:p w14:paraId="192A741E">
      <w:pPr>
        <w:spacing w:line="360" w:lineRule="auto"/>
        <w:jc w:val="center"/>
        <w:rPr>
          <w:rFonts w:hint="eastAsia"/>
        </w:rPr>
      </w:pPr>
    </w:p>
    <w:p w14:paraId="0CB5727A">
      <w:pPr>
        <w:rPr>
          <w:rFonts w:hint="eastAsia"/>
          <w:sz w:val="24"/>
          <w:szCs w:val="24"/>
        </w:rPr>
      </w:pPr>
    </w:p>
    <w:p w14:paraId="27F5620D">
      <w:pPr>
        <w:spacing w:line="400" w:lineRule="atLeast"/>
        <w:rPr>
          <w:rFonts w:ascii="Times New Roman" w:hAnsi="Times New Roman" w:eastAsia="Times New Roman" w:cs="Times New Roman"/>
          <w:sz w:val="24"/>
          <w:szCs w:val="24"/>
        </w:rPr>
      </w:pPr>
    </w:p>
    <w:p w14:paraId="0BBF5B40">
      <w:pPr>
        <w:spacing w:line="360" w:lineRule="auto"/>
        <w:rPr>
          <w:rFonts w:hint="eastAsia"/>
        </w:rPr>
      </w:pPr>
    </w:p>
    <w:p w14:paraId="471C6783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27BBEE73">
      <w:pPr>
        <w:spacing w:line="36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 w14:paraId="6FB76DCB">
      <w:pPr>
        <w:spacing w:line="360" w:lineRule="auto"/>
        <w:ind w:firstLine="480" w:firstLineChars="200"/>
        <w:jc w:val="left"/>
        <w:rPr>
          <w:rFonts w:ascii="Times New Roman" w:hAnsi="Times New Roman" w:eastAsia="等线" w:cs="Times New Roman"/>
          <w:sz w:val="24"/>
          <w:szCs w:val="24"/>
        </w:rPr>
      </w:pPr>
      <w:r>
        <w:rPr>
          <w:rFonts w:ascii="Times New Roman" w:hAnsi="Times New Roman" w:eastAsia="等线" w:cs="Times New Roman"/>
          <w:sz w:val="24"/>
          <w:szCs w:val="24"/>
        </w:rPr>
        <w:t xml:space="preserve"> </w:t>
      </w:r>
    </w:p>
    <w:p w14:paraId="6AFBF18A">
      <w:pPr>
        <w:snapToGrid w:val="0"/>
        <w:spacing w:line="360" w:lineRule="auto"/>
        <w:jc w:val="left"/>
        <w:rPr>
          <w:rFonts w:ascii="Times New Roman" w:hAnsi="Times New Roman" w:eastAsia="楷体" w:cs="Times New Roman"/>
          <w:b/>
          <w:sz w:val="24"/>
          <w:szCs w:val="24"/>
        </w:rPr>
      </w:pPr>
    </w:p>
    <w:p w14:paraId="5E6E3171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等线" w:cs="Times New Roman"/>
          <w:sz w:val="18"/>
          <w:szCs w:val="18"/>
          <w:lang w:bidi="ar"/>
        </w:rPr>
        <w:br w:type="page"/>
      </w:r>
    </w:p>
    <w:p w14:paraId="446BB50F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Figure Legends</w:t>
      </w:r>
    </w:p>
    <w:p w14:paraId="504F9D7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59434A">
      <w:pPr>
        <w:spacing w:line="360" w:lineRule="auto"/>
        <w:jc w:val="center"/>
      </w:pPr>
      <w:r>
        <w:rPr>
          <w:rFonts w:hint="eastAsia"/>
        </w:rPr>
        <w:drawing>
          <wp:inline distT="0" distB="0" distL="114300" distR="114300">
            <wp:extent cx="5269865" cy="3658870"/>
            <wp:effectExtent l="0" t="0" r="6985" b="8255"/>
            <wp:docPr id="2" name="图片 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5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22281">
      <w:pPr>
        <w:spacing w:line="360" w:lineRule="auto"/>
        <w:jc w:val="left"/>
        <w:rPr>
          <w:rFonts w:ascii="Times New Roman" w:hAnsi="Times New Roman" w:cs="Times New Roman"/>
          <w:i w:val="0"/>
          <w:iCs w:val="0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Supplementary</w:t>
      </w:r>
      <w:r>
        <w:rPr>
          <w:rFonts w:hint="eastAsia" w:ascii="Times New Roman" w:hAnsi="Times New Roman" w:cs="Times New Roman"/>
          <w:b/>
          <w:bCs/>
          <w:sz w:val="18"/>
          <w:szCs w:val="18"/>
        </w:rPr>
        <w:t xml:space="preserve"> Figure S1. </w:t>
      </w:r>
      <w:r>
        <w:rPr>
          <w:rFonts w:hint="eastAsia" w:ascii="Times New Roman" w:hAnsi="Times New Roman" w:cs="Times New Roman"/>
          <w:sz w:val="18"/>
          <w:szCs w:val="18"/>
        </w:rPr>
        <w:t>Nonlinear relationship between postoperative blood selenium and risk of POD occurrence.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>The results have all been adjusted for age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>gender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, AIS scores, 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>education level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>, CVD and DM.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 xml:space="preserve"> The solid line represents the 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>odds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 xml:space="preserve"> ratio after multivariate adjustment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>-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 xml:space="preserve">and the 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>blue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 xml:space="preserve"> area shows the 95% confidence interval. The reference lines without an association are represented by 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>red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 xml:space="preserve"> dotted lines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>-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>and the risk ratio is 1.0.</w:t>
      </w:r>
    </w:p>
    <w:p w14:paraId="707ACD49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Times New Roman" w:hAnsi="Times New Roman" w:cs="Times New Roman" w:eastAsiaTheme="minorEastAsia"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O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>R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,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 odds ratio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>CI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,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 Confidence interval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>Se, selenium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>POD, postoperative delirium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>AIS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,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 Athens Insomnia Scale;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>CVD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,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 cardio-and cerebro-vascular disease; DM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,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 diabetes mellitus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.</w:t>
      </w:r>
    </w:p>
    <w:p w14:paraId="7D3C7428">
      <w:pPr>
        <w:spacing w:line="360" w:lineRule="auto"/>
        <w:jc w:val="left"/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</w:pPr>
    </w:p>
    <w:p w14:paraId="236AFCB2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5A6CEEFC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20192DD6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010040FD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01C9E003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38A38C1D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7542FC46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25D502D1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77D9C94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1FCB57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5F427976">
      <w:pPr>
        <w:spacing w:line="360" w:lineRule="auto"/>
        <w:jc w:val="left"/>
      </w:pPr>
      <w:r>
        <w:rPr>
          <w:rFonts w:hint="eastAsia" w:ascii="Times New Roman" w:hAnsi="Times New Roman" w:cs="Times New Roman"/>
          <w:sz w:val="24"/>
          <w:szCs w:val="24"/>
        </w:rPr>
        <w:drawing>
          <wp:inline distT="0" distB="0" distL="114300" distR="114300">
            <wp:extent cx="5271135" cy="4747260"/>
            <wp:effectExtent l="0" t="0" r="5715" b="5715"/>
            <wp:docPr id="3" name="图片 3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74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7C0C2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Times New Roman" w:hAnsi="Times New Roman" w:cs="Times New Roman" w:eastAsiaTheme="minorEastAsia"/>
          <w:bCs/>
          <w:sz w:val="20"/>
          <w:szCs w:val="20"/>
          <w:lang w:val="en-US" w:eastAsia="zh-CN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Supplementary</w:t>
      </w:r>
      <w:r>
        <w:rPr>
          <w:rFonts w:hint="eastAsia" w:ascii="Times New Roman" w:hAnsi="Times New Roman" w:cs="Times New Roman"/>
          <w:b/>
          <w:bCs/>
          <w:sz w:val="18"/>
          <w:szCs w:val="18"/>
        </w:rPr>
        <w:t xml:space="preserve"> Figure S2.</w:t>
      </w:r>
      <w:r>
        <w:rPr>
          <w:rFonts w:hint="eastAsia"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Subgroup </w:t>
      </w:r>
      <w:r>
        <w:rPr>
          <w:rFonts w:hint="eastAsia"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/>
          <w:sz w:val="18"/>
          <w:szCs w:val="18"/>
        </w:rPr>
        <w:t xml:space="preserve">nalyses of the </w:t>
      </w:r>
      <w:r>
        <w:rPr>
          <w:rFonts w:hint="eastAsia"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/>
          <w:sz w:val="18"/>
          <w:szCs w:val="18"/>
        </w:rPr>
        <w:t xml:space="preserve">ssociation </w:t>
      </w:r>
      <w:r>
        <w:rPr>
          <w:rFonts w:hint="eastAsia" w:ascii="Times New Roman" w:hAnsi="Times New Roman" w:cs="Times New Roman"/>
          <w:sz w:val="18"/>
          <w:szCs w:val="18"/>
        </w:rPr>
        <w:t>b</w:t>
      </w:r>
      <w:r>
        <w:rPr>
          <w:rFonts w:ascii="Times New Roman" w:hAnsi="Times New Roman" w:cs="Times New Roman"/>
          <w:sz w:val="18"/>
          <w:szCs w:val="18"/>
        </w:rPr>
        <w:t xml:space="preserve">etween the </w:t>
      </w:r>
      <w:r>
        <w:rPr>
          <w:rFonts w:hint="eastAsia" w:ascii="Times New Roman" w:hAnsi="Times New Roman" w:cs="Times New Roman"/>
          <w:sz w:val="18"/>
          <w:szCs w:val="18"/>
        </w:rPr>
        <w:t>preoperative blood selenium</w:t>
      </w:r>
      <w:r>
        <w:rPr>
          <w:rFonts w:ascii="Times New Roman" w:hAnsi="Times New Roman" w:cs="Times New Roman"/>
          <w:sz w:val="18"/>
          <w:szCs w:val="18"/>
        </w:rPr>
        <w:t xml:space="preserve"> and </w:t>
      </w:r>
      <w:r>
        <w:rPr>
          <w:rFonts w:hint="eastAsia" w:ascii="Times New Roman" w:hAnsi="Times New Roman" w:cs="Times New Roman"/>
          <w:sz w:val="18"/>
          <w:szCs w:val="18"/>
        </w:rPr>
        <w:t>POD.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Subgroup analyses adjusted for all confounders other than stratified factors, including 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>age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>gender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, AIS scores, 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>education level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>CVD and DM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>OR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,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 odds ratio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;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 CI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,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 Confidence interval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>POD, postoperative delirium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>AIS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,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 Athens Insomnia Scale;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>CVD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,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 cardio-and cerebro-vascular disease; DM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,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 diabetes mellitus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.</w:t>
      </w:r>
    </w:p>
    <w:p w14:paraId="7F0742D2">
      <w:pPr>
        <w:spacing w:line="360" w:lineRule="auto"/>
        <w:jc w:val="left"/>
        <w:rPr>
          <w:rFonts w:hint="eastAsia" w:ascii="Times New Roman" w:hAnsi="Times New Roman" w:cs="Times New Roman" w:eastAsiaTheme="minorEastAsia"/>
          <w:b/>
          <w:bCs/>
          <w:i w:val="0"/>
          <w:iCs w:val="0"/>
          <w:sz w:val="24"/>
          <w:szCs w:val="24"/>
          <w:lang w:val="en-US" w:eastAsia="zh-CN"/>
        </w:rPr>
      </w:pPr>
    </w:p>
    <w:p w14:paraId="431D554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5E7CA2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5EE030E3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9C04CBB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14C7AB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E0CEE6A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31EDE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B63F3A0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484ADD4">
      <w:pPr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4691FD12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drawing>
          <wp:inline distT="0" distB="0" distL="114300" distR="114300">
            <wp:extent cx="5271135" cy="4119880"/>
            <wp:effectExtent l="0" t="0" r="5715" b="4445"/>
            <wp:docPr id="4" name="图片 4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11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ED6AF">
      <w:pPr>
        <w:spacing w:line="360" w:lineRule="auto"/>
        <w:jc w:val="left"/>
        <w:rPr>
          <w:rFonts w:ascii="Times New Roman" w:hAnsi="Times New Roman" w:cs="Times New Roman"/>
          <w:i w:val="0"/>
          <w:iCs w:val="0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Supplementary</w:t>
      </w:r>
      <w:r>
        <w:rPr>
          <w:rFonts w:hint="eastAsia" w:ascii="Times New Roman" w:hAnsi="Times New Roman" w:cs="Times New Roman"/>
          <w:b/>
          <w:bCs/>
          <w:sz w:val="18"/>
          <w:szCs w:val="18"/>
        </w:rPr>
        <w:t xml:space="preserve"> Figure S3.</w:t>
      </w:r>
      <w:r>
        <w:rPr>
          <w:rFonts w:hint="eastAsia"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Subgroup </w:t>
      </w:r>
      <w:r>
        <w:rPr>
          <w:rFonts w:hint="eastAsia"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/>
          <w:sz w:val="18"/>
          <w:szCs w:val="18"/>
        </w:rPr>
        <w:t xml:space="preserve">nalyses of the </w:t>
      </w:r>
      <w:r>
        <w:rPr>
          <w:rFonts w:hint="eastAsia"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/>
          <w:sz w:val="18"/>
          <w:szCs w:val="18"/>
        </w:rPr>
        <w:t xml:space="preserve">ssociation </w:t>
      </w:r>
      <w:r>
        <w:rPr>
          <w:rFonts w:hint="eastAsia" w:ascii="Times New Roman" w:hAnsi="Times New Roman" w:cs="Times New Roman"/>
          <w:sz w:val="18"/>
          <w:szCs w:val="18"/>
        </w:rPr>
        <w:t>b</w:t>
      </w:r>
      <w:r>
        <w:rPr>
          <w:rFonts w:ascii="Times New Roman" w:hAnsi="Times New Roman" w:cs="Times New Roman"/>
          <w:sz w:val="18"/>
          <w:szCs w:val="18"/>
        </w:rPr>
        <w:t xml:space="preserve">etween the </w:t>
      </w:r>
      <w:r>
        <w:rPr>
          <w:rFonts w:hint="eastAsia" w:ascii="Times New Roman" w:hAnsi="Times New Roman" w:cs="Times New Roman"/>
          <w:sz w:val="18"/>
          <w:szCs w:val="18"/>
        </w:rPr>
        <w:t>postoperative blood selenium</w:t>
      </w:r>
      <w:r>
        <w:rPr>
          <w:rFonts w:ascii="Times New Roman" w:hAnsi="Times New Roman" w:cs="Times New Roman"/>
          <w:sz w:val="18"/>
          <w:szCs w:val="18"/>
        </w:rPr>
        <w:t xml:space="preserve"> and </w:t>
      </w:r>
      <w:r>
        <w:rPr>
          <w:rFonts w:hint="eastAsia" w:ascii="Times New Roman" w:hAnsi="Times New Roman" w:cs="Times New Roman"/>
          <w:sz w:val="18"/>
          <w:szCs w:val="18"/>
        </w:rPr>
        <w:t>POD.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>OR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,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 odds ratio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;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 CI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,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 Confidence interval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>AIS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,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 Athens Insomnia Scale;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>CVD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,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 cardio-and cerebro-vascular disease; DM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>,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 diabetes mellitus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>POD, postoperative delirium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Subgroup analyses adjusted for all confounders other than stratified factors, including 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>age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>gender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, AIS scores, 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>education level</w:t>
      </w:r>
      <w:r>
        <w:rPr>
          <w:rFonts w:hint="eastAsia" w:ascii="Times New Roman" w:hAnsi="Times New Roman" w:cs="Times New Roman"/>
          <w:i w:val="0"/>
          <w:iCs w:val="0"/>
          <w:sz w:val="18"/>
          <w:szCs w:val="18"/>
        </w:rPr>
        <w:t xml:space="preserve">, CVD and DM.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901"/>
    <w:rsid w:val="00016BF5"/>
    <w:rsid w:val="000D6D56"/>
    <w:rsid w:val="000D7A97"/>
    <w:rsid w:val="0013750E"/>
    <w:rsid w:val="00172A27"/>
    <w:rsid w:val="0019473B"/>
    <w:rsid w:val="001A08CF"/>
    <w:rsid w:val="001A0D91"/>
    <w:rsid w:val="002448CF"/>
    <w:rsid w:val="00252B17"/>
    <w:rsid w:val="002F5E0B"/>
    <w:rsid w:val="0037221B"/>
    <w:rsid w:val="004327FA"/>
    <w:rsid w:val="005F162D"/>
    <w:rsid w:val="00633465"/>
    <w:rsid w:val="006C39A9"/>
    <w:rsid w:val="00724BCA"/>
    <w:rsid w:val="00844AC9"/>
    <w:rsid w:val="00845587"/>
    <w:rsid w:val="00845917"/>
    <w:rsid w:val="00867B14"/>
    <w:rsid w:val="008A78B8"/>
    <w:rsid w:val="00924FB3"/>
    <w:rsid w:val="00B23968"/>
    <w:rsid w:val="00C03156"/>
    <w:rsid w:val="00C22CAF"/>
    <w:rsid w:val="00C661D3"/>
    <w:rsid w:val="00D4072E"/>
    <w:rsid w:val="00E26EB8"/>
    <w:rsid w:val="00E31EB3"/>
    <w:rsid w:val="00F24401"/>
    <w:rsid w:val="02D2341E"/>
    <w:rsid w:val="05CE06E8"/>
    <w:rsid w:val="10F62F16"/>
    <w:rsid w:val="11395C46"/>
    <w:rsid w:val="11DC76EC"/>
    <w:rsid w:val="120F37B6"/>
    <w:rsid w:val="1537221F"/>
    <w:rsid w:val="16086BD2"/>
    <w:rsid w:val="1694071B"/>
    <w:rsid w:val="195B5DCC"/>
    <w:rsid w:val="197C38F4"/>
    <w:rsid w:val="1B8D1D33"/>
    <w:rsid w:val="1E6936F1"/>
    <w:rsid w:val="25E84C98"/>
    <w:rsid w:val="26F64CE5"/>
    <w:rsid w:val="274912B9"/>
    <w:rsid w:val="31DC6508"/>
    <w:rsid w:val="321702C6"/>
    <w:rsid w:val="342046F8"/>
    <w:rsid w:val="34D76298"/>
    <w:rsid w:val="381762D5"/>
    <w:rsid w:val="3AE8792A"/>
    <w:rsid w:val="3B710987"/>
    <w:rsid w:val="3F312907"/>
    <w:rsid w:val="3FEC4A80"/>
    <w:rsid w:val="428D52FC"/>
    <w:rsid w:val="445B21D4"/>
    <w:rsid w:val="46B834CD"/>
    <w:rsid w:val="48A86A2E"/>
    <w:rsid w:val="491F5651"/>
    <w:rsid w:val="4A443E3A"/>
    <w:rsid w:val="4A4D7683"/>
    <w:rsid w:val="4A7B712C"/>
    <w:rsid w:val="4C79100D"/>
    <w:rsid w:val="4EC67F48"/>
    <w:rsid w:val="4FA306F9"/>
    <w:rsid w:val="52C378C2"/>
    <w:rsid w:val="547C054C"/>
    <w:rsid w:val="549F7EBB"/>
    <w:rsid w:val="55E62561"/>
    <w:rsid w:val="5B150A21"/>
    <w:rsid w:val="5C422606"/>
    <w:rsid w:val="63D1044F"/>
    <w:rsid w:val="66D62184"/>
    <w:rsid w:val="671E1113"/>
    <w:rsid w:val="6FBB18F6"/>
    <w:rsid w:val="707B5AD0"/>
    <w:rsid w:val="71621207"/>
    <w:rsid w:val="7237488A"/>
    <w:rsid w:val="726A1FA9"/>
    <w:rsid w:val="768B1CF7"/>
    <w:rsid w:val="78361EB9"/>
    <w:rsid w:val="79481E14"/>
    <w:rsid w:val="7D89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37">
    <w:name w:val="msolist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eastAsia" w:ascii="等线" w:hAnsi="等线" w:eastAsia="等线" w:cs="Times New Roman"/>
      <w:kern w:val="2"/>
      <w:sz w:val="21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D25C1-21E9-4AB3-98C5-FC2FC34C67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1053</Words>
  <Characters>6219</Characters>
  <Lines>281</Lines>
  <Paragraphs>193</Paragraphs>
  <TotalTime>1</TotalTime>
  <ScaleCrop>false</ScaleCrop>
  <LinksUpToDate>false</LinksUpToDate>
  <CharactersWithSpaces>7124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2025-07-26T08:58:00Z</dcterms:created>
  <dc:creator>婷婷 黎</dc:creator>
  <cp:lastModifiedBy>黎婷</cp:lastModifiedBy>
  <dcterms:modified xsi:type="dcterms:W3CDTF">2026-05-13T14:39:03Z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eyJoZGlkIjoiMWU5YjgwMjg2YjBlMzFhMGE5ZmI5MjA1ZGFjNzc5NDYiLCJ1c2VySWQiOiIxNzUyNDg2MjQxIn0=</vt:lpwstr>
  </property>
  <property fmtid="{D5CDD505-2E9C-101B-9397-08002B2CF9AE}" pid="3" name="KSOProductBuildVer">
    <vt:lpwstr>2052-12.1.0.26375</vt:lpwstr>
  </property>
  <property fmtid="{D5CDD505-2E9C-101B-9397-08002B2CF9AE}" pid="4" name="ICV">
    <vt:lpwstr>23707F30C2C84A80845089367D577BA7_12</vt:lpwstr>
  </property>
</Properties>
</file>