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32AA9">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14:paraId="3EE539AD">
      <w:pPr>
        <w:rPr>
          <w:rFonts w:eastAsia="Times New Roman"/>
          <w:b/>
          <w:sz w:val="20"/>
          <w:szCs w:val="20"/>
          <w:lang w:eastAsia="en-GB"/>
        </w:rPr>
      </w:pPr>
    </w:p>
    <w:tbl>
      <w:tblPr>
        <w:tblStyle w:val="3"/>
        <w:tblW w:w="14490" w:type="dxa"/>
        <w:tblInd w:w="0" w:type="dxa"/>
        <w:tblLayout w:type="autofit"/>
        <w:tblCellMar>
          <w:top w:w="0" w:type="dxa"/>
          <w:left w:w="108" w:type="dxa"/>
          <w:bottom w:w="0" w:type="dxa"/>
          <w:right w:w="108" w:type="dxa"/>
        </w:tblCellMar>
      </w:tblPr>
      <w:tblGrid>
        <w:gridCol w:w="587"/>
        <w:gridCol w:w="1822"/>
        <w:gridCol w:w="7041"/>
        <w:gridCol w:w="720"/>
        <w:gridCol w:w="4320"/>
      </w:tblGrid>
      <w:tr w14:paraId="68BC94E2">
        <w:tblPrEx>
          <w:tblCellMar>
            <w:top w:w="0" w:type="dxa"/>
            <w:left w:w="108" w:type="dxa"/>
            <w:bottom w:w="0" w:type="dxa"/>
            <w:right w:w="108" w:type="dxa"/>
          </w:tblCellMar>
        </w:tblPrEx>
        <w:tc>
          <w:tcPr>
            <w:tcW w:w="587" w:type="dxa"/>
            <w:tcBorders>
              <w:top w:val="single" w:color="auto" w:sz="4" w:space="0"/>
              <w:bottom w:val="single" w:color="7F7F7F" w:sz="6" w:space="0"/>
            </w:tcBorders>
            <w:shd w:val="clear" w:color="auto" w:fill="auto"/>
          </w:tcPr>
          <w:p w14:paraId="00DEF8A5">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14:paraId="04F587D2">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14:paraId="5A682768">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color="auto" w:sz="4" w:space="0"/>
              <w:bottom w:val="single" w:color="7F7F7F" w:sz="6" w:space="0"/>
            </w:tcBorders>
          </w:tcPr>
          <w:p w14:paraId="26D050FB">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color="auto" w:sz="4" w:space="0"/>
              <w:bottom w:val="single" w:color="7F7F7F" w:sz="6" w:space="0"/>
            </w:tcBorders>
          </w:tcPr>
          <w:p w14:paraId="3B169EDD">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14:paraId="6D71F361">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14:paraId="25A8835C">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1</w:t>
            </w:r>
          </w:p>
        </w:tc>
        <w:tc>
          <w:tcPr>
            <w:tcW w:w="1822" w:type="dxa"/>
            <w:tcBorders>
              <w:top w:val="single" w:color="7F7F7F" w:sz="6" w:space="0"/>
              <w:bottom w:val="single" w:color="7F7F7F" w:sz="6" w:space="0"/>
            </w:tcBorders>
            <w:shd w:val="clear" w:color="auto" w:fill="EEEEEE"/>
          </w:tcPr>
          <w:p w14:paraId="4CC4316B">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14:paraId="1DA8BD46">
            <w:pPr>
              <w:spacing w:before="96" w:beforeLines="40" w:after="96" w:afterLines="40" w:line="24" w:lineRule="atLeast"/>
              <w:rPr>
                <w:rFonts w:ascii="Arial" w:hAnsi="Arial" w:eastAsia="Times New Roman" w:cs="Arial"/>
                <w:sz w:val="18"/>
                <w:szCs w:val="18"/>
                <w:lang w:val="en-GB" w:eastAsia="en-US"/>
              </w:rPr>
            </w:pPr>
            <w:r>
              <w:rPr>
                <w:rFonts w:ascii="Arial" w:hAnsi="Arial" w:eastAsia="Times New Roman" w:cs="Arial"/>
                <w:sz w:val="18"/>
                <w:szCs w:val="18"/>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14:paraId="428F187D">
            <w:pPr>
              <w:spacing w:before="96" w:beforeLines="40" w:after="96" w:afterLines="40" w:line="24" w:lineRule="atLeast"/>
              <w:rPr>
                <w:rFonts w:hint="eastAsia" w:ascii="Arial" w:hAnsi="Arial" w:eastAsia="宋体" w:cs="Arial"/>
                <w:sz w:val="18"/>
                <w:szCs w:val="18"/>
                <w:lang w:val="en-US" w:eastAsia="zh-CN"/>
              </w:rPr>
            </w:pPr>
            <w:r>
              <w:rPr>
                <w:rFonts w:hint="eastAsia" w:ascii="Arial" w:hAnsi="Arial" w:eastAsia="宋体" w:cs="Arial"/>
                <w:sz w:val="18"/>
                <w:szCs w:val="18"/>
                <w:lang w:val="en-US" w:eastAsia="zh-CN"/>
              </w:rPr>
              <w:t>1</w:t>
            </w:r>
          </w:p>
        </w:tc>
        <w:tc>
          <w:tcPr>
            <w:tcW w:w="4320" w:type="dxa"/>
            <w:tcBorders>
              <w:top w:val="single" w:color="7F7F7F" w:sz="6" w:space="0"/>
              <w:bottom w:val="single" w:color="7F7F7F" w:sz="6" w:space="0"/>
            </w:tcBorders>
            <w:shd w:val="clear" w:color="auto" w:fill="EEEEEE"/>
          </w:tcPr>
          <w:p w14:paraId="2F6D1FAF">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Title: The association between metabolic syndrome and hepatocellular carcinoma risk: a Mendelian randomization study; Abstract: We conducted a bidirectional two-sample Mendelian randomization (MR) study to investigate the causal relationship between metabolic syndrome and HCC</w:t>
            </w:r>
          </w:p>
        </w:tc>
      </w:tr>
      <w:tr w14:paraId="641E6A58">
        <w:tblPrEx>
          <w:tblCellMar>
            <w:top w:w="0" w:type="dxa"/>
            <w:left w:w="108" w:type="dxa"/>
            <w:bottom w:w="0" w:type="dxa"/>
            <w:right w:w="108" w:type="dxa"/>
          </w:tblCellMar>
        </w:tblPrEx>
        <w:tc>
          <w:tcPr>
            <w:tcW w:w="587" w:type="dxa"/>
            <w:tcBorders>
              <w:top w:val="single" w:color="7F7F7F" w:sz="6" w:space="0"/>
            </w:tcBorders>
            <w:shd w:val="clear" w:color="auto" w:fill="auto"/>
          </w:tcPr>
          <w:p w14:paraId="4792BEFB">
            <w:pPr>
              <w:spacing w:before="96" w:beforeLines="40" w:after="96" w:afterLines="40" w:line="24" w:lineRule="atLeast"/>
              <w:rPr>
                <w:rFonts w:ascii="Arial" w:hAnsi="Arial" w:eastAsia="Times New Roman" w:cs="Arial"/>
                <w:sz w:val="18"/>
                <w:szCs w:val="18"/>
                <w:lang w:val="en-GB" w:eastAsia="en-GB"/>
              </w:rPr>
            </w:pPr>
          </w:p>
        </w:tc>
        <w:tc>
          <w:tcPr>
            <w:tcW w:w="1822" w:type="dxa"/>
            <w:tcBorders>
              <w:top w:val="single" w:color="7F7F7F" w:sz="6" w:space="0"/>
            </w:tcBorders>
            <w:shd w:val="clear" w:color="auto" w:fill="auto"/>
          </w:tcPr>
          <w:p w14:paraId="63B58F01">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INTRODUCTION</w:t>
            </w:r>
          </w:p>
        </w:tc>
        <w:tc>
          <w:tcPr>
            <w:tcW w:w="7041" w:type="dxa"/>
            <w:tcBorders>
              <w:top w:val="single" w:color="7F7F7F" w:sz="6" w:space="0"/>
            </w:tcBorders>
            <w:shd w:val="clear" w:color="auto" w:fill="auto"/>
          </w:tcPr>
          <w:p w14:paraId="473C01D0">
            <w:pPr>
              <w:spacing w:before="96" w:beforeLines="40" w:after="96" w:afterLines="40" w:line="24" w:lineRule="atLeast"/>
              <w:rPr>
                <w:rFonts w:ascii="Arial" w:hAnsi="Arial" w:eastAsia="Times New Roman" w:cs="Arial"/>
                <w:sz w:val="18"/>
                <w:szCs w:val="18"/>
                <w:lang w:val="en-GB" w:eastAsia="en-US"/>
              </w:rPr>
            </w:pPr>
          </w:p>
        </w:tc>
        <w:tc>
          <w:tcPr>
            <w:tcW w:w="720" w:type="dxa"/>
            <w:tcBorders>
              <w:top w:val="single" w:color="7F7F7F" w:sz="6" w:space="0"/>
            </w:tcBorders>
          </w:tcPr>
          <w:p w14:paraId="6681F500">
            <w:pPr>
              <w:spacing w:before="96" w:beforeLines="40" w:after="96" w:afterLines="40" w:line="24" w:lineRule="atLeast"/>
              <w:rPr>
                <w:rFonts w:hint="default" w:ascii="Arial" w:hAnsi="Arial" w:eastAsia="宋体" w:cs="Arial"/>
                <w:sz w:val="18"/>
                <w:szCs w:val="18"/>
                <w:lang w:val="en-US" w:eastAsia="zh-CN"/>
              </w:rPr>
            </w:pPr>
            <w:r>
              <w:rPr>
                <w:rFonts w:hint="eastAsia" w:ascii="Arial" w:hAnsi="Arial" w:eastAsia="宋体" w:cs="Arial"/>
                <w:sz w:val="18"/>
                <w:szCs w:val="18"/>
                <w:lang w:val="en-US" w:eastAsia="zh-CN"/>
              </w:rPr>
              <w:t>2-4</w:t>
            </w:r>
          </w:p>
        </w:tc>
        <w:tc>
          <w:tcPr>
            <w:tcW w:w="4320" w:type="dxa"/>
            <w:tcBorders>
              <w:top w:val="single" w:color="7F7F7F" w:sz="6" w:space="0"/>
            </w:tcBorders>
          </w:tcPr>
          <w:p w14:paraId="7A6DC6E9">
            <w:pPr>
              <w:spacing w:before="96" w:beforeLines="40" w:after="96" w:afterLines="40" w:line="24" w:lineRule="atLeast"/>
              <w:rPr>
                <w:rFonts w:ascii="Arial" w:hAnsi="Arial" w:eastAsia="Times New Roman" w:cs="Arial"/>
                <w:sz w:val="18"/>
                <w:szCs w:val="18"/>
                <w:lang w:val="en-GB" w:eastAsia="en-US"/>
              </w:rPr>
            </w:pPr>
          </w:p>
        </w:tc>
      </w:tr>
      <w:tr w14:paraId="7DB622D8">
        <w:tblPrEx>
          <w:tblCellMar>
            <w:top w:w="0" w:type="dxa"/>
            <w:left w:w="108" w:type="dxa"/>
            <w:bottom w:w="0" w:type="dxa"/>
            <w:right w:w="108" w:type="dxa"/>
          </w:tblCellMar>
        </w:tblPrEx>
        <w:tc>
          <w:tcPr>
            <w:tcW w:w="587" w:type="dxa"/>
            <w:shd w:val="clear" w:color="auto" w:fill="EEEEEE"/>
          </w:tcPr>
          <w:p w14:paraId="7DE28D61">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2</w:t>
            </w:r>
          </w:p>
        </w:tc>
        <w:tc>
          <w:tcPr>
            <w:tcW w:w="1822" w:type="dxa"/>
            <w:shd w:val="clear" w:color="auto" w:fill="EEEEEE"/>
          </w:tcPr>
          <w:p w14:paraId="7756B327">
            <w:pPr>
              <w:spacing w:before="96" w:beforeLines="40" w:after="96" w:afterLines="40" w:line="24" w:lineRule="atLeast"/>
              <w:rPr>
                <w:rFonts w:ascii="Arial" w:hAnsi="Arial" w:eastAsia="Times New Roman" w:cs="Arial"/>
                <w:sz w:val="18"/>
                <w:szCs w:val="18"/>
                <w:lang w:val="en-GB" w:eastAsia="en-US"/>
              </w:rPr>
            </w:pPr>
            <w:r>
              <w:rPr>
                <w:rFonts w:ascii="Arial" w:hAnsi="Arial" w:eastAsia="Times New Roman" w:cs="Arial"/>
                <w:sz w:val="18"/>
                <w:szCs w:val="18"/>
                <w:lang w:val="en-GB" w:eastAsia="en-GB"/>
              </w:rPr>
              <w:t>Background</w:t>
            </w:r>
          </w:p>
        </w:tc>
        <w:tc>
          <w:tcPr>
            <w:tcW w:w="7041" w:type="dxa"/>
            <w:shd w:val="clear" w:color="auto" w:fill="EEEEEE"/>
          </w:tcPr>
          <w:p w14:paraId="5423D52E">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14:paraId="460FB29C">
            <w:pPr>
              <w:spacing w:before="96" w:beforeLines="40" w:after="96" w:afterLines="40" w:line="24" w:lineRule="atLeast"/>
              <w:rPr>
                <w:rFonts w:hint="default" w:ascii="Arial" w:hAnsi="Arial" w:eastAsia="宋体" w:cs="Arial"/>
                <w:sz w:val="18"/>
                <w:szCs w:val="18"/>
                <w:lang w:val="en-US" w:eastAsia="zh-CN"/>
              </w:rPr>
            </w:pPr>
            <w:r>
              <w:rPr>
                <w:rFonts w:hint="eastAsia" w:ascii="Arial" w:hAnsi="Arial" w:eastAsia="宋体" w:cs="Arial"/>
                <w:sz w:val="18"/>
                <w:szCs w:val="18"/>
                <w:lang w:val="en-US" w:eastAsia="zh-CN"/>
              </w:rPr>
              <w:t>2-4</w:t>
            </w:r>
          </w:p>
        </w:tc>
        <w:tc>
          <w:tcPr>
            <w:tcW w:w="4320" w:type="dxa"/>
            <w:shd w:val="clear" w:color="auto" w:fill="EEEEEE"/>
          </w:tcPr>
          <w:p w14:paraId="5D990A22">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Background: Metabolic syndrome (MetS) is associated with HCC risk; exposure: 15 metabolic traits (obesity, glycemic, lipidemic, hypertension); MR avoids selection bias/confounding to infer causality</w:t>
            </w:r>
          </w:p>
        </w:tc>
      </w:tr>
      <w:tr w14:paraId="7907A3D3">
        <w:tblPrEx>
          <w:tblCellMar>
            <w:top w:w="0" w:type="dxa"/>
            <w:left w:w="108" w:type="dxa"/>
            <w:bottom w:w="0" w:type="dxa"/>
            <w:right w:w="108" w:type="dxa"/>
          </w:tblCellMar>
        </w:tblPrEx>
        <w:trPr>
          <w:trHeight w:val="90" w:hRule="atLeast"/>
        </w:trPr>
        <w:tc>
          <w:tcPr>
            <w:tcW w:w="587" w:type="dxa"/>
            <w:tcBorders>
              <w:bottom w:val="single" w:color="7F7F7F" w:sz="6" w:space="0"/>
            </w:tcBorders>
            <w:shd w:val="clear" w:color="auto" w:fill="auto"/>
          </w:tcPr>
          <w:p w14:paraId="4F63B034">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3</w:t>
            </w:r>
          </w:p>
        </w:tc>
        <w:tc>
          <w:tcPr>
            <w:tcW w:w="1822" w:type="dxa"/>
            <w:tcBorders>
              <w:bottom w:val="single" w:color="7F7F7F" w:sz="6" w:space="0"/>
            </w:tcBorders>
            <w:shd w:val="clear" w:color="auto" w:fill="auto"/>
          </w:tcPr>
          <w:p w14:paraId="3E6B9EEC">
            <w:pPr>
              <w:spacing w:before="96" w:beforeLines="40" w:after="96" w:afterLines="40" w:line="24" w:lineRule="atLeast"/>
              <w:rPr>
                <w:rFonts w:ascii="Arial" w:hAnsi="Arial" w:eastAsia="Times New Roman" w:cs="Arial"/>
                <w:sz w:val="18"/>
                <w:szCs w:val="18"/>
                <w:lang w:val="en-GB" w:eastAsia="en-US"/>
              </w:rPr>
            </w:pPr>
            <w:r>
              <w:rPr>
                <w:rFonts w:ascii="Arial" w:hAnsi="Arial" w:eastAsia="Times New Roman" w:cs="Arial"/>
                <w:sz w:val="18"/>
                <w:szCs w:val="18"/>
                <w:lang w:val="en-GB" w:eastAsia="en-GB"/>
              </w:rPr>
              <w:t>Objectives</w:t>
            </w:r>
          </w:p>
        </w:tc>
        <w:tc>
          <w:tcPr>
            <w:tcW w:w="7041" w:type="dxa"/>
            <w:tcBorders>
              <w:bottom w:val="single" w:color="7F7F7F" w:sz="6" w:space="0"/>
            </w:tcBorders>
            <w:shd w:val="clear" w:color="auto" w:fill="auto"/>
          </w:tcPr>
          <w:p w14:paraId="41BC8A04">
            <w:pPr>
              <w:spacing w:before="96" w:beforeLines="40" w:after="96" w:afterLines="40" w:line="24" w:lineRule="atLeast"/>
              <w:rPr>
                <w:rFonts w:ascii="Arial" w:hAnsi="Arial" w:eastAsia="Times New Roman" w:cs="Arial"/>
                <w:sz w:val="18"/>
                <w:szCs w:val="18"/>
                <w:lang w:val="en-GB" w:eastAsia="en-US"/>
              </w:rPr>
            </w:pPr>
            <w:r>
              <w:rPr>
                <w:rFonts w:ascii="Arial" w:hAnsi="Arial" w:eastAsia="Times New Roman" w:cs="Arial"/>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14:paraId="2294F6C5">
            <w:pPr>
              <w:spacing w:before="96" w:beforeLines="40" w:after="96" w:afterLines="40" w:line="24" w:lineRule="atLeast"/>
              <w:rPr>
                <w:rFonts w:hint="default" w:ascii="Arial" w:hAnsi="Arial" w:eastAsia="宋体" w:cs="Arial"/>
                <w:sz w:val="18"/>
                <w:szCs w:val="18"/>
                <w:lang w:val="en-US" w:eastAsia="zh-CN"/>
              </w:rPr>
            </w:pPr>
            <w:r>
              <w:rPr>
                <w:rFonts w:hint="eastAsia" w:ascii="Arial" w:hAnsi="Arial" w:eastAsia="宋体" w:cs="Arial"/>
                <w:sz w:val="18"/>
                <w:szCs w:val="18"/>
                <w:lang w:val="en-US" w:eastAsia="zh-CN"/>
              </w:rPr>
              <w:t>2-4</w:t>
            </w:r>
          </w:p>
        </w:tc>
        <w:tc>
          <w:tcPr>
            <w:tcW w:w="4320" w:type="dxa"/>
            <w:tcBorders>
              <w:bottom w:val="single" w:color="7F7F7F" w:sz="6" w:space="0"/>
            </w:tcBorders>
          </w:tcPr>
          <w:p w14:paraId="11250836">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Objective: Investigate causal relationship between MetS components and HCC risk via two-sample MR; MR uses genetic variants as IVs to estimate causal effects</w:t>
            </w:r>
          </w:p>
        </w:tc>
      </w:tr>
      <w:tr w14:paraId="59599383">
        <w:tblPrEx>
          <w:tblCellMar>
            <w:top w:w="0" w:type="dxa"/>
            <w:left w:w="108" w:type="dxa"/>
            <w:bottom w:w="0" w:type="dxa"/>
            <w:right w:w="108" w:type="dxa"/>
          </w:tblCellMar>
        </w:tblPrEx>
        <w:tc>
          <w:tcPr>
            <w:tcW w:w="587" w:type="dxa"/>
            <w:tcBorders>
              <w:top w:val="single" w:color="7F7F7F" w:sz="6" w:space="0"/>
            </w:tcBorders>
            <w:shd w:val="clear" w:color="auto" w:fill="EEEEEE"/>
          </w:tcPr>
          <w:p w14:paraId="3524D6D4">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14:paraId="6152628C">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14:paraId="309B8567">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shd w:val="clear" w:color="auto" w:fill="EEEEEE"/>
          </w:tcPr>
          <w:p w14:paraId="2FFEF450">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4-6</w:t>
            </w:r>
          </w:p>
        </w:tc>
        <w:tc>
          <w:tcPr>
            <w:tcW w:w="4320" w:type="dxa"/>
            <w:tcBorders>
              <w:top w:val="single" w:color="7F7F7F" w:sz="6" w:space="0"/>
            </w:tcBorders>
            <w:shd w:val="clear" w:color="auto" w:fill="EEEEEE"/>
          </w:tcPr>
          <w:p w14:paraId="6CB9315A">
            <w:pPr>
              <w:spacing w:before="96" w:beforeLines="40" w:after="96" w:afterLines="40" w:line="24" w:lineRule="atLeast"/>
              <w:rPr>
                <w:rFonts w:ascii="Arial" w:hAnsi="Arial" w:eastAsia="Times New Roman" w:cs="Arial"/>
                <w:sz w:val="18"/>
                <w:szCs w:val="18"/>
                <w:lang w:val="en-GB" w:eastAsia="en-US"/>
              </w:rPr>
            </w:pPr>
          </w:p>
        </w:tc>
      </w:tr>
      <w:tr w14:paraId="6440155E">
        <w:tblPrEx>
          <w:tblCellMar>
            <w:top w:w="0" w:type="dxa"/>
            <w:left w:w="108" w:type="dxa"/>
            <w:bottom w:w="0" w:type="dxa"/>
            <w:right w:w="108" w:type="dxa"/>
          </w:tblCellMar>
        </w:tblPrEx>
        <w:tc>
          <w:tcPr>
            <w:tcW w:w="587" w:type="dxa"/>
            <w:shd w:val="clear" w:color="auto" w:fill="auto"/>
          </w:tcPr>
          <w:p w14:paraId="5C7CF349">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14:paraId="408E2A89">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14:paraId="29029CA4">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4-6</w:t>
            </w:r>
          </w:p>
        </w:tc>
        <w:tc>
          <w:tcPr>
            <w:tcW w:w="4320" w:type="dxa"/>
          </w:tcPr>
          <w:p w14:paraId="23CE0AC6">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Two-sample MR; European ancestry; GWAS summary data: UKB, GLGC, MAGIC, Neale Lab; HCC from UKB GWAS</w:t>
            </w:r>
          </w:p>
        </w:tc>
      </w:tr>
      <w:tr w14:paraId="47D5AE21">
        <w:tblPrEx>
          <w:tblCellMar>
            <w:top w:w="0" w:type="dxa"/>
            <w:left w:w="108" w:type="dxa"/>
            <w:bottom w:w="0" w:type="dxa"/>
            <w:right w:w="108" w:type="dxa"/>
          </w:tblCellMar>
        </w:tblPrEx>
        <w:tc>
          <w:tcPr>
            <w:tcW w:w="587" w:type="dxa"/>
            <w:shd w:val="clear" w:color="auto" w:fill="EEEEEE"/>
          </w:tcPr>
          <w:p w14:paraId="0980B688">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9E72ACB">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246167BE">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pPr>
              <w:spacing w:before="96" w:beforeLines="40" w:after="96" w:afterLines="40" w:line="24" w:lineRule="atLeast"/>
              <w:rPr>
                <w:rFonts w:eastAsia="Times New Roman"/>
                <w:sz w:val="18"/>
                <w:szCs w:val="18"/>
                <w:shd w:val="clear" w:color="auto" w:fill="FFFFFF"/>
                <w:lang w:val="en-GB" w:eastAsia="en-GB"/>
              </w:rPr>
            </w:pPr>
            <w:r>
              <w:rPr>
                <w:rFonts w:hint="eastAsia" w:eastAsia="宋体"/>
                <w:sz w:val="18"/>
                <w:szCs w:val="18"/>
                <w:lang w:val="en-US" w:eastAsia="zh-CN"/>
              </w:rPr>
              <w:t>4-6</w:t>
            </w:r>
          </w:p>
        </w:tc>
        <w:tc>
          <w:tcPr>
            <w:tcW w:w="4320" w:type="dxa"/>
            <w:shd w:val="clear" w:color="auto" w:fill="EEEEEE"/>
          </w:tcPr>
          <w:p w14:paraId="33F4171D">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Two-sample MR; European ancestry populations; no specific recruitment/follow-up dates reported</w:t>
            </w:r>
          </w:p>
        </w:tc>
      </w:tr>
      <w:tr w14:paraId="376A6F82">
        <w:tblPrEx>
          <w:tblCellMar>
            <w:top w:w="0" w:type="dxa"/>
            <w:left w:w="108" w:type="dxa"/>
            <w:bottom w:w="0" w:type="dxa"/>
            <w:right w:w="108" w:type="dxa"/>
          </w:tblCellMar>
        </w:tblPrEx>
        <w:tc>
          <w:tcPr>
            <w:tcW w:w="587" w:type="dxa"/>
            <w:shd w:val="clear" w:color="auto" w:fill="auto"/>
          </w:tcPr>
          <w:p w14:paraId="6B85F41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0CF2EB5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5E3BCE69">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tcPr>
          <w:p w14:paraId="29ACC32C">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宋体"/>
                <w:sz w:val="18"/>
                <w:szCs w:val="18"/>
                <w:lang w:val="en-US" w:eastAsia="zh-CN"/>
              </w:rPr>
              <w:t>4-6</w:t>
            </w:r>
          </w:p>
        </w:tc>
        <w:tc>
          <w:tcPr>
            <w:tcW w:w="4320" w:type="dxa"/>
          </w:tcPr>
          <w:p w14:paraId="37C3B4C3">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Eligibility: European ancestry; sample sizes: BMI (461,460), HCC (372,184); power assessed via online tool</w:t>
            </w:r>
          </w:p>
        </w:tc>
      </w:tr>
      <w:tr w14:paraId="04B065C7">
        <w:tblPrEx>
          <w:tblCellMar>
            <w:top w:w="0" w:type="dxa"/>
            <w:left w:w="108" w:type="dxa"/>
            <w:bottom w:w="0" w:type="dxa"/>
            <w:right w:w="108" w:type="dxa"/>
          </w:tblCellMar>
        </w:tblPrEx>
        <w:tc>
          <w:tcPr>
            <w:tcW w:w="587" w:type="dxa"/>
            <w:shd w:val="clear" w:color="auto" w:fill="EEEEEE"/>
          </w:tcPr>
          <w:p w14:paraId="09448E25">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60DD299">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7B54F10C">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14:paraId="2CDB28F5">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4-6</w:t>
            </w:r>
          </w:p>
        </w:tc>
        <w:tc>
          <w:tcPr>
            <w:tcW w:w="4320" w:type="dxa"/>
            <w:shd w:val="clear" w:color="auto" w:fill="EEEEEE"/>
          </w:tcPr>
          <w:p w14:paraId="26B556E6">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SNPs: P&lt;5×10⁻⁸, MAF&gt;0.01, LD r²&lt;0.001 (10,000kb); exclude palindromic; F&gt;10</w:t>
            </w:r>
          </w:p>
        </w:tc>
      </w:tr>
      <w:tr w14:paraId="215DDE8E">
        <w:tblPrEx>
          <w:tblCellMar>
            <w:top w:w="0" w:type="dxa"/>
            <w:left w:w="108" w:type="dxa"/>
            <w:bottom w:w="0" w:type="dxa"/>
            <w:right w:w="108" w:type="dxa"/>
          </w:tblCellMar>
        </w:tblPrEx>
        <w:tc>
          <w:tcPr>
            <w:tcW w:w="587" w:type="dxa"/>
            <w:shd w:val="clear" w:color="auto" w:fill="auto"/>
          </w:tcPr>
          <w:p w14:paraId="7E3D460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0FB55AD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3B6B6065">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宋体"/>
                <w:sz w:val="18"/>
                <w:szCs w:val="18"/>
                <w:lang w:val="en-US" w:eastAsia="zh-CN"/>
              </w:rPr>
              <w:t>4-6</w:t>
            </w:r>
          </w:p>
        </w:tc>
        <w:tc>
          <w:tcPr>
            <w:tcW w:w="4320" w:type="dxa"/>
          </w:tcPr>
          <w:p w14:paraId="18BB4B57">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Exposures: 15 MetS traits (anthropometric, glycemic, lipidemic, hypertension); Outcome: HCC (UKB GWAS)</w:t>
            </w:r>
          </w:p>
        </w:tc>
      </w:tr>
      <w:tr w14:paraId="69A6C8B1">
        <w:tblPrEx>
          <w:tblCellMar>
            <w:top w:w="0" w:type="dxa"/>
            <w:left w:w="108" w:type="dxa"/>
            <w:bottom w:w="0" w:type="dxa"/>
            <w:right w:w="108" w:type="dxa"/>
          </w:tblCellMar>
        </w:tblPrEx>
        <w:tc>
          <w:tcPr>
            <w:tcW w:w="587" w:type="dxa"/>
            <w:shd w:val="clear" w:color="auto" w:fill="EEEEEE"/>
          </w:tcPr>
          <w:p w14:paraId="292FBB97">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73C46B4">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14:paraId="4E713FBB">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宋体"/>
                <w:sz w:val="18"/>
                <w:szCs w:val="18"/>
                <w:lang w:val="en-US" w:eastAsia="zh-CN"/>
              </w:rPr>
              <w:t>4-6</w:t>
            </w:r>
          </w:p>
        </w:tc>
        <w:tc>
          <w:tcPr>
            <w:tcW w:w="4320" w:type="dxa"/>
            <w:shd w:val="clear" w:color="auto" w:fill="EEEEEE"/>
          </w:tcPr>
          <w:p w14:paraId="6067A95B">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GWAS obtained informed consent and ethics approval from UK Biobank, GLGC, MAGIC; no additional approval needed</w:t>
            </w:r>
          </w:p>
        </w:tc>
      </w:tr>
      <w:tr w14:paraId="23EA53EC">
        <w:tblPrEx>
          <w:tblCellMar>
            <w:top w:w="0" w:type="dxa"/>
            <w:left w:w="108" w:type="dxa"/>
            <w:bottom w:w="0" w:type="dxa"/>
            <w:right w:w="108" w:type="dxa"/>
          </w:tblCellMar>
        </w:tblPrEx>
        <w:tc>
          <w:tcPr>
            <w:tcW w:w="587" w:type="dxa"/>
            <w:shd w:val="clear" w:color="auto" w:fill="auto"/>
          </w:tcPr>
          <w:p w14:paraId="3E6E0D63">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14:paraId="1F0455B3">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14:paraId="0458797D">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14:paraId="5139727F">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4-6</w:t>
            </w:r>
          </w:p>
        </w:tc>
        <w:tc>
          <w:tcPr>
            <w:tcW w:w="4320" w:type="dxa"/>
          </w:tcPr>
          <w:p w14:paraId="7A54DE1B">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IV assumptions: (1) SNP–exposure association; (2) no confounder association; (3) outcome only via exposure; sensitivity: MR-Egger, WM, MR-PRESSO</w:t>
            </w:r>
          </w:p>
        </w:tc>
      </w:tr>
      <w:tr w14:paraId="6209F8C8">
        <w:tblPrEx>
          <w:tblCellMar>
            <w:top w:w="0" w:type="dxa"/>
            <w:left w:w="108" w:type="dxa"/>
            <w:bottom w:w="0" w:type="dxa"/>
            <w:right w:w="108" w:type="dxa"/>
          </w:tblCellMar>
        </w:tblPrEx>
        <w:tc>
          <w:tcPr>
            <w:tcW w:w="587" w:type="dxa"/>
            <w:shd w:val="clear" w:color="auto" w:fill="EEEEEE"/>
          </w:tcPr>
          <w:p w14:paraId="6FA239C8">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14:paraId="3D8F9E93">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14:paraId="49C33D0D">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14:paraId="0D1191BA">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4-6</w:t>
            </w:r>
          </w:p>
        </w:tc>
        <w:tc>
          <w:tcPr>
            <w:tcW w:w="4320" w:type="dxa"/>
            <w:shd w:val="clear" w:color="auto" w:fill="EEEEEE"/>
          </w:tcPr>
          <w:p w14:paraId="75DF0C4B">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IVW as primary; MR-Egger, WM as sensitivity; multivariable MR; MR-PRESSO for pleiotropy</w:t>
            </w:r>
          </w:p>
        </w:tc>
      </w:tr>
      <w:tr w14:paraId="4346E621">
        <w:tblPrEx>
          <w:tblCellMar>
            <w:top w:w="0" w:type="dxa"/>
            <w:left w:w="108" w:type="dxa"/>
            <w:bottom w:w="0" w:type="dxa"/>
            <w:right w:w="108" w:type="dxa"/>
          </w:tblCellMar>
        </w:tblPrEx>
        <w:tc>
          <w:tcPr>
            <w:tcW w:w="587" w:type="dxa"/>
            <w:shd w:val="clear" w:color="auto" w:fill="auto"/>
          </w:tcPr>
          <w:p w14:paraId="339A016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3635743C">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3BB90022">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tcPr>
          <w:p w14:paraId="22720A53">
            <w:pPr>
              <w:spacing w:before="96" w:beforeLines="40" w:after="96" w:afterLines="40" w:line="24" w:lineRule="atLeast"/>
              <w:rPr>
                <w:rFonts w:eastAsia="Times New Roman"/>
                <w:sz w:val="18"/>
                <w:szCs w:val="18"/>
                <w:lang w:val="en-GB" w:eastAsia="en-GB"/>
              </w:rPr>
            </w:pPr>
          </w:p>
        </w:tc>
        <w:tc>
          <w:tcPr>
            <w:tcW w:w="4320" w:type="dxa"/>
            <w:shd w:val="clear"/>
            <w:vAlign w:val="center"/>
          </w:tcPr>
          <w:p w14:paraId="76159846">
            <w:pPr>
              <w:spacing w:before="96" w:beforeLines="40" w:after="96" w:afterLines="40" w:line="24" w:lineRule="atLeast"/>
              <w:rPr>
                <w:rFonts w:ascii="Arial" w:hAnsi="Arial" w:eastAsia="Times New Roman" w:cs="Arial"/>
                <w:sz w:val="18"/>
                <w:szCs w:val="18"/>
                <w:lang w:val="en-GB" w:eastAsia="en-GB"/>
              </w:rPr>
            </w:pPr>
          </w:p>
        </w:tc>
      </w:tr>
      <w:tr w14:paraId="642A4D4B">
        <w:tblPrEx>
          <w:tblCellMar>
            <w:top w:w="0" w:type="dxa"/>
            <w:left w:w="108" w:type="dxa"/>
            <w:bottom w:w="0" w:type="dxa"/>
            <w:right w:w="108" w:type="dxa"/>
          </w:tblCellMar>
        </w:tblPrEx>
        <w:tc>
          <w:tcPr>
            <w:tcW w:w="587" w:type="dxa"/>
            <w:shd w:val="clear" w:color="auto" w:fill="EEEEEE"/>
          </w:tcPr>
          <w:p w14:paraId="11F7484C">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569D49F3">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6B2ACDE9">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pPr>
              <w:spacing w:before="96" w:beforeLines="40" w:after="96" w:afterLines="40" w:line="24" w:lineRule="atLeast"/>
              <w:rPr>
                <w:rFonts w:eastAsia="Times New Roman"/>
                <w:sz w:val="18"/>
                <w:szCs w:val="18"/>
                <w:lang w:val="en-GB" w:eastAsia="en-GB"/>
              </w:rPr>
            </w:pPr>
          </w:p>
        </w:tc>
        <w:tc>
          <w:tcPr>
            <w:tcW w:w="4320" w:type="dxa"/>
            <w:shd w:val="clear"/>
            <w:vAlign w:val="center"/>
          </w:tcPr>
          <w:p w14:paraId="1612F89F">
            <w:pPr>
              <w:spacing w:before="96" w:beforeLines="40" w:after="96" w:afterLines="40" w:line="24" w:lineRule="atLeast"/>
              <w:rPr>
                <w:rFonts w:ascii="Arial" w:hAnsi="Arial" w:eastAsia="Times New Roman" w:cs="Arial"/>
                <w:sz w:val="18"/>
                <w:szCs w:val="18"/>
                <w:lang w:val="en-GB" w:eastAsia="en-GB"/>
              </w:rPr>
            </w:pPr>
          </w:p>
        </w:tc>
      </w:tr>
      <w:tr w14:paraId="70378831">
        <w:tblPrEx>
          <w:tblCellMar>
            <w:top w:w="0" w:type="dxa"/>
            <w:left w:w="108" w:type="dxa"/>
            <w:bottom w:w="0" w:type="dxa"/>
            <w:right w:w="108" w:type="dxa"/>
          </w:tblCellMar>
        </w:tblPrEx>
        <w:tc>
          <w:tcPr>
            <w:tcW w:w="587" w:type="dxa"/>
            <w:shd w:val="clear" w:color="auto" w:fill="auto"/>
          </w:tcPr>
          <w:p w14:paraId="45E41495">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59F665E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5CB03D96">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pPr>
              <w:spacing w:before="96" w:beforeLines="40" w:after="96" w:afterLines="40" w:line="24" w:lineRule="atLeast"/>
              <w:rPr>
                <w:rFonts w:eastAsia="Times New Roman"/>
                <w:sz w:val="18"/>
                <w:szCs w:val="18"/>
                <w:lang w:val="en-GB" w:eastAsia="en-GB"/>
              </w:rPr>
            </w:pPr>
          </w:p>
        </w:tc>
        <w:tc>
          <w:tcPr>
            <w:tcW w:w="4320" w:type="dxa"/>
            <w:shd w:val="clear"/>
            <w:vAlign w:val="center"/>
          </w:tcPr>
          <w:p w14:paraId="334D44EB">
            <w:pPr>
              <w:spacing w:before="96" w:beforeLines="40" w:after="96" w:afterLines="40" w:line="24" w:lineRule="atLeast"/>
              <w:rPr>
                <w:rFonts w:ascii="Arial" w:hAnsi="Arial" w:eastAsia="Times New Roman" w:cs="Arial"/>
                <w:sz w:val="18"/>
                <w:szCs w:val="18"/>
                <w:lang w:val="en-GB" w:eastAsia="en-GB"/>
              </w:rPr>
            </w:pPr>
          </w:p>
        </w:tc>
      </w:tr>
      <w:tr w14:paraId="0D8F3A7E">
        <w:tblPrEx>
          <w:tblCellMar>
            <w:top w:w="0" w:type="dxa"/>
            <w:left w:w="108" w:type="dxa"/>
            <w:bottom w:w="0" w:type="dxa"/>
            <w:right w:w="108" w:type="dxa"/>
          </w:tblCellMar>
        </w:tblPrEx>
        <w:tc>
          <w:tcPr>
            <w:tcW w:w="587" w:type="dxa"/>
            <w:shd w:val="clear" w:color="auto" w:fill="EEEEEE"/>
          </w:tcPr>
          <w:p w14:paraId="1D70C4CD">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0A3AAFD6">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14:paraId="08786389">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shd w:val="clear" w:color="auto" w:fill="EEEEEE"/>
          </w:tcPr>
          <w:p w14:paraId="297C3632">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16808665">
            <w:pPr>
              <w:spacing w:before="96" w:beforeLines="40" w:after="96" w:afterLines="40" w:line="24" w:lineRule="atLeast"/>
              <w:rPr>
                <w:rFonts w:ascii="Arial" w:hAnsi="Arial" w:eastAsia="Times New Roman" w:cs="Arial"/>
                <w:sz w:val="18"/>
                <w:szCs w:val="18"/>
                <w:lang w:val="en-GB" w:eastAsia="en-GB"/>
              </w:rPr>
            </w:pPr>
          </w:p>
        </w:tc>
      </w:tr>
      <w:tr w14:paraId="77F037B8">
        <w:tblPrEx>
          <w:tblCellMar>
            <w:top w:w="0" w:type="dxa"/>
            <w:left w:w="108" w:type="dxa"/>
            <w:bottom w:w="0" w:type="dxa"/>
            <w:right w:w="108" w:type="dxa"/>
          </w:tblCellMar>
        </w:tblPrEx>
        <w:tc>
          <w:tcPr>
            <w:tcW w:w="587" w:type="dxa"/>
            <w:shd w:val="clear" w:color="auto" w:fill="auto"/>
          </w:tcPr>
          <w:p w14:paraId="4AC39E55">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D9E035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14:paraId="41F1E52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tcPr>
          <w:p w14:paraId="6B5C4982">
            <w:pPr>
              <w:spacing w:before="96" w:beforeLines="40" w:after="96" w:afterLines="40" w:line="24" w:lineRule="atLeast"/>
              <w:rPr>
                <w:rFonts w:eastAsia="Times New Roman"/>
                <w:sz w:val="18"/>
                <w:szCs w:val="18"/>
                <w:lang w:val="en-GB" w:eastAsia="en-GB"/>
              </w:rPr>
            </w:pPr>
          </w:p>
        </w:tc>
        <w:tc>
          <w:tcPr>
            <w:tcW w:w="4320" w:type="dxa"/>
          </w:tcPr>
          <w:p w14:paraId="490E44D4">
            <w:pPr>
              <w:spacing w:before="96" w:beforeLines="40" w:after="96" w:afterLines="40" w:line="24" w:lineRule="atLeast"/>
              <w:rPr>
                <w:rFonts w:ascii="Arial" w:hAnsi="Arial" w:eastAsia="Times New Roman" w:cs="Arial"/>
                <w:sz w:val="18"/>
                <w:szCs w:val="18"/>
                <w:lang w:val="en-GB" w:eastAsia="en-GB"/>
              </w:rPr>
            </w:pPr>
          </w:p>
        </w:tc>
      </w:tr>
      <w:tr w14:paraId="585043CE">
        <w:tblPrEx>
          <w:tblCellMar>
            <w:top w:w="0" w:type="dxa"/>
            <w:left w:w="108" w:type="dxa"/>
            <w:bottom w:w="0" w:type="dxa"/>
            <w:right w:w="108" w:type="dxa"/>
          </w:tblCellMar>
        </w:tblPrEx>
        <w:tc>
          <w:tcPr>
            <w:tcW w:w="587" w:type="dxa"/>
            <w:shd w:val="clear" w:color="auto" w:fill="EEEEEE"/>
          </w:tcPr>
          <w:p w14:paraId="55967D09">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14:paraId="0947B164">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14:paraId="1E6D0B1E">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tcPr>
          <w:p w14:paraId="61C50F74">
            <w:pPr>
              <w:tabs>
                <w:tab w:val="left" w:pos="1620"/>
              </w:tabs>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4-6</w:t>
            </w:r>
          </w:p>
        </w:tc>
        <w:tc>
          <w:tcPr>
            <w:tcW w:w="4320" w:type="dxa"/>
            <w:shd w:val="clear" w:color="auto" w:fill="EEEEEE"/>
          </w:tcPr>
          <w:p w14:paraId="5D46DB2B">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MR-Egger intercept (pleiotropy), Cochran’s Q (heterogeneity), F-statistic (weak instruments)</w:t>
            </w:r>
          </w:p>
        </w:tc>
      </w:tr>
      <w:tr w14:paraId="383932D9">
        <w:tblPrEx>
          <w:tblCellMar>
            <w:top w:w="0" w:type="dxa"/>
            <w:left w:w="108" w:type="dxa"/>
            <w:bottom w:w="0" w:type="dxa"/>
            <w:right w:w="108" w:type="dxa"/>
          </w:tblCellMar>
        </w:tblPrEx>
        <w:tc>
          <w:tcPr>
            <w:tcW w:w="587" w:type="dxa"/>
            <w:shd w:val="clear" w:color="auto" w:fill="auto"/>
          </w:tcPr>
          <w:p w14:paraId="1A4621BC">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14:paraId="0F88F25B">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14:paraId="13C6445C">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4-6</w:t>
            </w:r>
          </w:p>
        </w:tc>
        <w:tc>
          <w:tcPr>
            <w:tcW w:w="4320" w:type="dxa"/>
            <w:shd w:val="clear" w:color="auto" w:fill="auto"/>
            <w:vAlign w:val="center"/>
          </w:tcPr>
          <w:p w14:paraId="229BFDFD">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MR-Egger, weighted median, MR-PRESSO; multivariable MR adjusting for co-occurring metabolic traits</w:t>
            </w:r>
          </w:p>
        </w:tc>
      </w:tr>
      <w:tr w14:paraId="55C7A410">
        <w:tblPrEx>
          <w:tblCellMar>
            <w:top w:w="0" w:type="dxa"/>
            <w:left w:w="108" w:type="dxa"/>
            <w:bottom w:w="0" w:type="dxa"/>
            <w:right w:w="108" w:type="dxa"/>
          </w:tblCellMar>
        </w:tblPrEx>
        <w:tc>
          <w:tcPr>
            <w:tcW w:w="587" w:type="dxa"/>
            <w:shd w:val="clear" w:color="auto" w:fill="EEEEEE"/>
          </w:tcPr>
          <w:p w14:paraId="056075DE">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14:paraId="6096809E">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14:paraId="08D1055E">
            <w:pPr>
              <w:spacing w:before="96" w:beforeLines="40" w:after="96" w:afterLines="40" w:line="24" w:lineRule="atLeast"/>
              <w:rPr>
                <w:rFonts w:eastAsia="Cambria"/>
                <w:sz w:val="18"/>
                <w:szCs w:val="18"/>
                <w:lang w:val="en-GB" w:eastAsia="en-US"/>
              </w:rPr>
            </w:pPr>
          </w:p>
        </w:tc>
        <w:tc>
          <w:tcPr>
            <w:tcW w:w="720" w:type="dxa"/>
            <w:shd w:val="clear" w:color="auto" w:fill="EEEEEE"/>
          </w:tcPr>
          <w:p w14:paraId="721E714E">
            <w:pPr>
              <w:spacing w:before="96" w:beforeLines="40" w:after="96" w:afterLines="40" w:line="24" w:lineRule="atLeast"/>
              <w:rPr>
                <w:rFonts w:eastAsia="Cambria"/>
                <w:sz w:val="18"/>
                <w:szCs w:val="18"/>
                <w:lang w:val="en-GB" w:eastAsia="en-US"/>
              </w:rPr>
            </w:pPr>
            <w:r>
              <w:rPr>
                <w:rFonts w:hint="eastAsia" w:eastAsia="宋体"/>
                <w:sz w:val="18"/>
                <w:szCs w:val="18"/>
                <w:lang w:val="en-US" w:eastAsia="zh-CN"/>
              </w:rPr>
              <w:t>4-6</w:t>
            </w:r>
          </w:p>
        </w:tc>
        <w:tc>
          <w:tcPr>
            <w:tcW w:w="4320" w:type="dxa"/>
            <w:shd w:val="clear" w:color="auto" w:fill="EEEEEE"/>
          </w:tcPr>
          <w:p w14:paraId="495710C0">
            <w:pPr>
              <w:spacing w:before="96" w:beforeLines="40" w:after="96" w:afterLines="40" w:line="24" w:lineRule="atLeast"/>
              <w:rPr>
                <w:rFonts w:ascii="Arial" w:hAnsi="Arial" w:eastAsia="Times New Roman" w:cs="Arial"/>
                <w:sz w:val="18"/>
                <w:szCs w:val="18"/>
                <w:lang w:val="en-GB" w:eastAsia="en-US"/>
              </w:rPr>
            </w:pPr>
            <w:r>
              <w:rPr>
                <w:rFonts w:ascii="Arial" w:hAnsi="Arial" w:eastAsia="Times New Roman" w:cs="Arial"/>
                <w:sz w:val="18"/>
                <w:szCs w:val="18"/>
                <w:lang w:val="en-GB" w:eastAsia="en-GB"/>
              </w:rPr>
              <w:t>R 4.1.1; packages: TwoSampleMR, MendelianRandomization, MVMR, MRPRESSO; no pre-registration mentioned</w:t>
            </w:r>
          </w:p>
        </w:tc>
      </w:tr>
      <w:tr w14:paraId="5EA9EBD1">
        <w:tblPrEx>
          <w:tblCellMar>
            <w:top w:w="0" w:type="dxa"/>
            <w:left w:w="108" w:type="dxa"/>
            <w:bottom w:w="0" w:type="dxa"/>
            <w:right w:w="108" w:type="dxa"/>
          </w:tblCellMar>
        </w:tblPrEx>
        <w:tc>
          <w:tcPr>
            <w:tcW w:w="587" w:type="dxa"/>
            <w:shd w:val="clear" w:color="auto" w:fill="auto"/>
          </w:tcPr>
          <w:p w14:paraId="66EDED80">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50BD32B9">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054FBA47">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tcPr>
          <w:p w14:paraId="305BB821">
            <w:pPr>
              <w:spacing w:before="96" w:beforeLines="40" w:after="96" w:afterLines="40" w:line="24" w:lineRule="atLeast"/>
              <w:rPr>
                <w:rFonts w:eastAsia="Times New Roman"/>
                <w:sz w:val="18"/>
                <w:szCs w:val="18"/>
                <w:lang w:val="en-GB" w:eastAsia="en-GB"/>
              </w:rPr>
            </w:pPr>
          </w:p>
        </w:tc>
        <w:tc>
          <w:tcPr>
            <w:tcW w:w="4320" w:type="dxa"/>
          </w:tcPr>
          <w:p w14:paraId="79626260">
            <w:pPr>
              <w:spacing w:before="96" w:beforeLines="40" w:after="96" w:afterLines="40" w:line="24" w:lineRule="atLeast"/>
              <w:rPr>
                <w:rFonts w:ascii="Arial" w:hAnsi="Arial" w:eastAsia="Times New Roman" w:cs="Arial"/>
                <w:sz w:val="18"/>
                <w:szCs w:val="18"/>
                <w:lang w:val="en-GB" w:eastAsia="en-GB"/>
              </w:rPr>
            </w:pPr>
          </w:p>
        </w:tc>
      </w:tr>
      <w:tr w14:paraId="6A631D93">
        <w:tblPrEx>
          <w:tblCellMar>
            <w:top w:w="0" w:type="dxa"/>
            <w:left w:w="108" w:type="dxa"/>
            <w:bottom w:w="0" w:type="dxa"/>
            <w:right w:w="108" w:type="dxa"/>
          </w:tblCellMar>
        </w:tblPrEx>
        <w:tc>
          <w:tcPr>
            <w:tcW w:w="587" w:type="dxa"/>
            <w:tcBorders>
              <w:bottom w:val="single" w:color="7F7F7F" w:sz="6" w:space="0"/>
            </w:tcBorders>
            <w:shd w:val="clear" w:color="auto" w:fill="EEEEEE"/>
          </w:tcPr>
          <w:p w14:paraId="37C88958">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14:paraId="2349B556">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14:paraId="5DBE58D7">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color="7F7F7F" w:sz="6" w:space="0"/>
            </w:tcBorders>
            <w:shd w:val="clear" w:color="auto" w:fill="EEEEEE"/>
          </w:tcPr>
          <w:p w14:paraId="2325504F">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14:paraId="3EFCD231">
            <w:pPr>
              <w:spacing w:before="96" w:beforeLines="40" w:after="96" w:afterLines="40" w:line="24" w:lineRule="atLeast"/>
              <w:rPr>
                <w:rFonts w:ascii="Arial" w:hAnsi="Arial" w:eastAsia="Times New Roman" w:cs="Arial"/>
                <w:sz w:val="18"/>
                <w:szCs w:val="18"/>
                <w:lang w:val="en-GB" w:eastAsia="en-GB"/>
              </w:rPr>
            </w:pPr>
          </w:p>
        </w:tc>
      </w:tr>
      <w:tr w14:paraId="040F15E5">
        <w:tblPrEx>
          <w:tblCellMar>
            <w:top w:w="0" w:type="dxa"/>
            <w:left w:w="108" w:type="dxa"/>
            <w:bottom w:w="0" w:type="dxa"/>
            <w:right w:w="108" w:type="dxa"/>
          </w:tblCellMar>
        </w:tblPrEx>
        <w:tc>
          <w:tcPr>
            <w:tcW w:w="587" w:type="dxa"/>
            <w:tcBorders>
              <w:top w:val="single" w:color="7F7F7F" w:sz="6" w:space="0"/>
            </w:tcBorders>
            <w:shd w:val="clear" w:color="auto" w:fill="auto"/>
          </w:tcPr>
          <w:p w14:paraId="777278B3">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7D8D653B">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14:paraId="34719287">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0E355A69">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33E956D1">
            <w:pPr>
              <w:spacing w:before="96" w:beforeLines="40" w:after="96" w:afterLines="40" w:line="24" w:lineRule="atLeast"/>
              <w:rPr>
                <w:rFonts w:ascii="Arial" w:hAnsi="Arial" w:eastAsia="Times New Roman" w:cs="Arial"/>
                <w:sz w:val="18"/>
                <w:szCs w:val="18"/>
                <w:lang w:val="en-GB" w:eastAsia="en-US"/>
              </w:rPr>
            </w:pPr>
          </w:p>
        </w:tc>
      </w:tr>
      <w:tr w14:paraId="67F47EED">
        <w:tblPrEx>
          <w:tblCellMar>
            <w:top w:w="0" w:type="dxa"/>
            <w:left w:w="108" w:type="dxa"/>
            <w:bottom w:w="0" w:type="dxa"/>
            <w:right w:w="108" w:type="dxa"/>
          </w:tblCellMar>
        </w:tblPrEx>
        <w:tc>
          <w:tcPr>
            <w:tcW w:w="587" w:type="dxa"/>
            <w:shd w:val="clear" w:color="auto" w:fill="EEEEEE"/>
          </w:tcPr>
          <w:p w14:paraId="51C7A54B">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14:paraId="731D0370">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14:paraId="3B19CDAF">
            <w:pPr>
              <w:spacing w:before="96" w:beforeLines="40" w:after="96" w:afterLines="40" w:line="24" w:lineRule="atLeast"/>
              <w:rPr>
                <w:rFonts w:eastAsia="Cambria"/>
                <w:sz w:val="18"/>
                <w:szCs w:val="18"/>
                <w:lang w:val="en-GB" w:eastAsia="en-US"/>
              </w:rPr>
            </w:pPr>
          </w:p>
        </w:tc>
        <w:tc>
          <w:tcPr>
            <w:tcW w:w="720" w:type="dxa"/>
            <w:shd w:val="clear" w:color="auto" w:fill="EEEEEE"/>
          </w:tcPr>
          <w:p w14:paraId="1091FF57">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6-7</w:t>
            </w:r>
          </w:p>
        </w:tc>
        <w:tc>
          <w:tcPr>
            <w:tcW w:w="4320" w:type="dxa"/>
            <w:shd w:val="clear" w:color="auto" w:fill="EEEEEE"/>
          </w:tcPr>
          <w:p w14:paraId="4B684E79">
            <w:pPr>
              <w:spacing w:before="96" w:beforeLines="40" w:after="96" w:afterLines="40" w:line="24" w:lineRule="atLeast"/>
              <w:rPr>
                <w:rFonts w:ascii="Arial" w:hAnsi="Arial" w:eastAsia="Times New Roman" w:cs="Arial"/>
                <w:sz w:val="18"/>
                <w:szCs w:val="18"/>
                <w:lang w:val="en-GB" w:eastAsia="en-US"/>
              </w:rPr>
            </w:pPr>
            <w:r>
              <w:rPr>
                <w:rFonts w:ascii="Arial" w:hAnsi="Arial" w:eastAsia="Times New Roman" w:cs="Arial"/>
                <w:sz w:val="18"/>
                <w:szCs w:val="18"/>
                <w:lang w:val="en-GB" w:eastAsia="en-GB"/>
              </w:rPr>
              <w:t>15 MetS traits; SNP counts: 10–411; mean F:48.10–154.46; R²:1.26–30.70%; flowchart Figure 1</w:t>
            </w:r>
          </w:p>
        </w:tc>
      </w:tr>
      <w:tr w14:paraId="6CA228D1">
        <w:tblPrEx>
          <w:tblCellMar>
            <w:top w:w="0" w:type="dxa"/>
            <w:left w:w="108" w:type="dxa"/>
            <w:bottom w:w="0" w:type="dxa"/>
            <w:right w:w="108" w:type="dxa"/>
          </w:tblCellMar>
        </w:tblPrEx>
        <w:tc>
          <w:tcPr>
            <w:tcW w:w="587" w:type="dxa"/>
            <w:shd w:val="clear" w:color="auto" w:fill="auto"/>
          </w:tcPr>
          <w:p w14:paraId="29B62776">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C1499C8">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4D5C652C">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14:paraId="7AF8CC23">
            <w:pPr>
              <w:spacing w:before="96" w:beforeLines="40" w:after="96" w:afterLines="40" w:line="24" w:lineRule="atLeast"/>
              <w:rPr>
                <w:rFonts w:eastAsia="Times New Roman"/>
                <w:sz w:val="18"/>
                <w:szCs w:val="18"/>
                <w:lang w:val="en-GB" w:eastAsia="en-GB"/>
              </w:rPr>
            </w:pPr>
          </w:p>
        </w:tc>
        <w:tc>
          <w:tcPr>
            <w:tcW w:w="4320" w:type="dxa"/>
          </w:tcPr>
          <w:p w14:paraId="00D65497">
            <w:pPr>
              <w:spacing w:before="96" w:beforeLines="40" w:after="96" w:afterLines="40" w:line="24" w:lineRule="atLeast"/>
              <w:rPr>
                <w:rFonts w:ascii="Arial" w:hAnsi="Arial" w:eastAsia="Times New Roman" w:cs="Arial"/>
                <w:sz w:val="18"/>
                <w:szCs w:val="18"/>
                <w:lang w:val="en-GB" w:eastAsia="en-GB"/>
              </w:rPr>
            </w:pPr>
          </w:p>
        </w:tc>
      </w:tr>
      <w:tr w14:paraId="0765C344">
        <w:tblPrEx>
          <w:tblCellMar>
            <w:top w:w="0" w:type="dxa"/>
            <w:left w:w="108" w:type="dxa"/>
            <w:bottom w:w="0" w:type="dxa"/>
            <w:right w:w="108" w:type="dxa"/>
          </w:tblCellMar>
        </w:tblPrEx>
        <w:tc>
          <w:tcPr>
            <w:tcW w:w="587" w:type="dxa"/>
            <w:shd w:val="clear" w:color="auto" w:fill="EEEEEE"/>
          </w:tcPr>
          <w:p w14:paraId="2404BFFB">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6545C2F1">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405491AF">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14:paraId="03BBA613">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0FD9D468">
            <w:pPr>
              <w:spacing w:before="96" w:beforeLines="40" w:after="96" w:afterLines="40" w:line="24" w:lineRule="atLeast"/>
              <w:rPr>
                <w:rFonts w:ascii="Arial" w:hAnsi="Arial" w:eastAsia="Times New Roman" w:cs="Arial"/>
                <w:sz w:val="18"/>
                <w:szCs w:val="18"/>
                <w:lang w:val="en-GB" w:eastAsia="en-GB"/>
              </w:rPr>
            </w:pPr>
          </w:p>
        </w:tc>
      </w:tr>
      <w:tr w14:paraId="48F10342">
        <w:tblPrEx>
          <w:tblCellMar>
            <w:top w:w="0" w:type="dxa"/>
            <w:left w:w="108" w:type="dxa"/>
            <w:bottom w:w="0" w:type="dxa"/>
            <w:right w:w="108" w:type="dxa"/>
          </w:tblCellMar>
        </w:tblPrEx>
        <w:tc>
          <w:tcPr>
            <w:tcW w:w="587" w:type="dxa"/>
            <w:shd w:val="clear" w:color="auto" w:fill="auto"/>
          </w:tcPr>
          <w:p w14:paraId="6600AF43">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435099F2">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062EB561">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pPr>
              <w:spacing w:before="96" w:beforeLines="40" w:after="96" w:afterLines="40" w:line="24" w:lineRule="atLeast"/>
              <w:rPr>
                <w:rFonts w:eastAsia="Times New Roman"/>
                <w:sz w:val="18"/>
                <w:szCs w:val="18"/>
                <w:lang w:val="en-GB" w:eastAsia="en-GB"/>
              </w:rPr>
            </w:pPr>
          </w:p>
        </w:tc>
        <w:tc>
          <w:tcPr>
            <w:tcW w:w="4320" w:type="dxa"/>
          </w:tcPr>
          <w:p w14:paraId="449D40FD">
            <w:pPr>
              <w:spacing w:before="96" w:beforeLines="40" w:after="96" w:afterLines="40" w:line="24" w:lineRule="atLeast"/>
              <w:rPr>
                <w:rFonts w:ascii="Arial" w:hAnsi="Arial" w:eastAsia="Times New Roman" w:cs="Arial"/>
                <w:sz w:val="18"/>
                <w:szCs w:val="18"/>
                <w:lang w:val="en-GB" w:eastAsia="en-GB"/>
              </w:rPr>
            </w:pPr>
          </w:p>
        </w:tc>
      </w:tr>
      <w:tr w14:paraId="51930A8C">
        <w:tblPrEx>
          <w:tblCellMar>
            <w:top w:w="0" w:type="dxa"/>
            <w:left w:w="108" w:type="dxa"/>
            <w:bottom w:w="0" w:type="dxa"/>
            <w:right w:w="108" w:type="dxa"/>
          </w:tblCellMar>
        </w:tblPrEx>
        <w:tc>
          <w:tcPr>
            <w:tcW w:w="587" w:type="dxa"/>
            <w:shd w:val="clear" w:color="auto" w:fill="EEEEEE"/>
          </w:tcPr>
          <w:p w14:paraId="6116DD95">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453F787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14:paraId="2EFD572E">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14:paraId="48065368">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14:paraId="35BA9280">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4948EE3D">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5B2A1A71">
            <w:pPr>
              <w:spacing w:before="96" w:beforeLines="40" w:after="96" w:afterLines="40" w:line="24" w:lineRule="atLeast"/>
              <w:rPr>
                <w:rFonts w:ascii="Arial" w:hAnsi="Arial" w:eastAsia="Times New Roman" w:cs="Arial"/>
                <w:sz w:val="18"/>
                <w:szCs w:val="18"/>
                <w:lang w:val="en-GB" w:eastAsia="en-GB"/>
              </w:rPr>
            </w:pPr>
          </w:p>
        </w:tc>
      </w:tr>
      <w:tr w14:paraId="52CFCA59">
        <w:tblPrEx>
          <w:tblCellMar>
            <w:top w:w="0" w:type="dxa"/>
            <w:left w:w="108" w:type="dxa"/>
            <w:bottom w:w="0" w:type="dxa"/>
            <w:right w:w="108" w:type="dxa"/>
          </w:tblCellMar>
        </w:tblPrEx>
        <w:tc>
          <w:tcPr>
            <w:tcW w:w="587" w:type="dxa"/>
            <w:shd w:val="clear" w:color="auto" w:fill="auto"/>
          </w:tcPr>
          <w:p w14:paraId="110872BB">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14:paraId="0C26298F">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14:paraId="2F14FA37">
            <w:pPr>
              <w:spacing w:before="96" w:beforeLines="40" w:after="96" w:afterLines="40" w:line="24" w:lineRule="atLeast"/>
              <w:rPr>
                <w:rFonts w:eastAsia="Cambria"/>
                <w:sz w:val="18"/>
                <w:szCs w:val="18"/>
                <w:lang w:val="en-GB" w:eastAsia="en-US"/>
              </w:rPr>
            </w:pPr>
          </w:p>
        </w:tc>
        <w:tc>
          <w:tcPr>
            <w:tcW w:w="720" w:type="dxa"/>
          </w:tcPr>
          <w:p w14:paraId="035B3367">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7-11</w:t>
            </w:r>
          </w:p>
        </w:tc>
        <w:tc>
          <w:tcPr>
            <w:tcW w:w="4320" w:type="dxa"/>
          </w:tcPr>
          <w:p w14:paraId="0AFA0083">
            <w:pPr>
              <w:spacing w:before="96" w:beforeLines="40" w:after="96" w:afterLines="40" w:line="24" w:lineRule="atLeast"/>
              <w:rPr>
                <w:rFonts w:ascii="Arial" w:hAnsi="Arial" w:eastAsia="Times New Roman" w:cs="Arial"/>
                <w:sz w:val="18"/>
                <w:szCs w:val="18"/>
                <w:lang w:val="en-GB" w:eastAsia="en-US"/>
              </w:rPr>
            </w:pPr>
            <w:r>
              <w:rPr>
                <w:rFonts w:ascii="Arial" w:hAnsi="Arial" w:eastAsia="Times New Roman" w:cs="Arial"/>
                <w:sz w:val="18"/>
                <w:szCs w:val="18"/>
                <w:lang w:val="en-GB" w:eastAsia="en-GB"/>
              </w:rPr>
              <w:t>Univariable MR: BMI/BFP/WC → higher HCC risk; LDL-C/TG → lower HCC risk; multivariable MR: only LDL-C and TG independent protective factors</w:t>
            </w:r>
          </w:p>
        </w:tc>
      </w:tr>
      <w:tr w14:paraId="56845A2A">
        <w:tblPrEx>
          <w:tblCellMar>
            <w:top w:w="0" w:type="dxa"/>
            <w:left w:w="108" w:type="dxa"/>
            <w:bottom w:w="0" w:type="dxa"/>
            <w:right w:w="108" w:type="dxa"/>
          </w:tblCellMar>
        </w:tblPrEx>
        <w:tc>
          <w:tcPr>
            <w:tcW w:w="587" w:type="dxa"/>
            <w:shd w:val="clear" w:color="auto" w:fill="EEEEEE"/>
          </w:tcPr>
          <w:p w14:paraId="0892A548">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7CDB72A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09CB478B">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7BCA1C07">
            <w:pPr>
              <w:spacing w:before="96" w:beforeLines="40" w:after="96" w:afterLines="40" w:line="24" w:lineRule="atLeast"/>
              <w:rPr>
                <w:rFonts w:ascii="Arial" w:hAnsi="Arial" w:eastAsia="Times New Roman" w:cs="Arial"/>
                <w:sz w:val="18"/>
                <w:szCs w:val="18"/>
                <w:lang w:val="en-GB" w:eastAsia="en-GB"/>
              </w:rPr>
            </w:pPr>
          </w:p>
        </w:tc>
      </w:tr>
      <w:tr w14:paraId="2FAEFE68">
        <w:tblPrEx>
          <w:tblCellMar>
            <w:top w:w="0" w:type="dxa"/>
            <w:left w:w="108" w:type="dxa"/>
            <w:bottom w:w="0" w:type="dxa"/>
            <w:right w:w="108" w:type="dxa"/>
          </w:tblCellMar>
        </w:tblPrEx>
        <w:tc>
          <w:tcPr>
            <w:tcW w:w="587" w:type="dxa"/>
            <w:shd w:val="clear" w:color="auto" w:fill="auto"/>
          </w:tcPr>
          <w:p w14:paraId="2E83DFB7">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142A3CE2">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336E75EE">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14:paraId="1E1B567F">
            <w:pPr>
              <w:spacing w:before="96" w:beforeLines="40" w:after="96" w:afterLines="40" w:line="24" w:lineRule="atLeast"/>
              <w:rPr>
                <w:rFonts w:eastAsia="Times New Roman"/>
                <w:sz w:val="18"/>
                <w:szCs w:val="18"/>
                <w:lang w:val="en-GB" w:eastAsia="en-GB"/>
              </w:rPr>
            </w:pPr>
          </w:p>
        </w:tc>
        <w:tc>
          <w:tcPr>
            <w:tcW w:w="4320" w:type="dxa"/>
          </w:tcPr>
          <w:p w14:paraId="4564CEDB">
            <w:pPr>
              <w:spacing w:before="96" w:beforeLines="40" w:after="96" w:afterLines="40" w:line="24" w:lineRule="atLeast"/>
              <w:rPr>
                <w:rFonts w:ascii="Arial" w:hAnsi="Arial" w:eastAsia="Times New Roman" w:cs="Arial"/>
                <w:sz w:val="18"/>
                <w:szCs w:val="18"/>
                <w:lang w:val="en-GB" w:eastAsia="en-GB"/>
              </w:rPr>
            </w:pPr>
          </w:p>
        </w:tc>
      </w:tr>
      <w:tr w14:paraId="1FAC379E">
        <w:tblPrEx>
          <w:tblCellMar>
            <w:top w:w="0" w:type="dxa"/>
            <w:left w:w="108" w:type="dxa"/>
            <w:bottom w:w="0" w:type="dxa"/>
            <w:right w:w="108" w:type="dxa"/>
          </w:tblCellMar>
        </w:tblPrEx>
        <w:tc>
          <w:tcPr>
            <w:tcW w:w="587" w:type="dxa"/>
            <w:shd w:val="clear" w:color="auto" w:fill="EEEEEE"/>
          </w:tcPr>
          <w:p w14:paraId="6762B88A">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514E8164">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4BC6AB7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4A2216FF">
            <w:pPr>
              <w:spacing w:before="96" w:beforeLines="40" w:after="96" w:afterLines="40" w:line="24" w:lineRule="atLeast"/>
              <w:rPr>
                <w:rFonts w:ascii="Arial" w:hAnsi="Arial" w:eastAsia="Times New Roman" w:cs="Arial"/>
                <w:sz w:val="18"/>
                <w:szCs w:val="18"/>
                <w:lang w:val="en-GB" w:eastAsia="en-GB"/>
              </w:rPr>
            </w:pPr>
          </w:p>
        </w:tc>
      </w:tr>
      <w:tr w14:paraId="00F87C74">
        <w:tblPrEx>
          <w:tblCellMar>
            <w:top w:w="0" w:type="dxa"/>
            <w:left w:w="108" w:type="dxa"/>
            <w:bottom w:w="0" w:type="dxa"/>
            <w:right w:w="108" w:type="dxa"/>
          </w:tblCellMar>
        </w:tblPrEx>
        <w:tc>
          <w:tcPr>
            <w:tcW w:w="587" w:type="dxa"/>
            <w:shd w:val="clear" w:color="auto" w:fill="auto"/>
          </w:tcPr>
          <w:p w14:paraId="2CDE5DE6">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69C50E8E">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47CC3ACC">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pPr>
              <w:spacing w:before="96" w:beforeLines="40" w:after="96" w:afterLines="40" w:line="24" w:lineRule="atLeast"/>
              <w:rPr>
                <w:rFonts w:eastAsia="Times New Roman"/>
                <w:sz w:val="18"/>
                <w:szCs w:val="18"/>
                <w:lang w:val="en-GB" w:eastAsia="en-GB"/>
              </w:rPr>
            </w:pPr>
          </w:p>
        </w:tc>
        <w:tc>
          <w:tcPr>
            <w:tcW w:w="4320" w:type="dxa"/>
          </w:tcPr>
          <w:p w14:paraId="7B9F0A4D">
            <w:pPr>
              <w:spacing w:before="96" w:beforeLines="40" w:after="96" w:afterLines="40" w:line="24" w:lineRule="atLeast"/>
              <w:rPr>
                <w:rFonts w:ascii="Arial" w:hAnsi="Arial" w:eastAsia="Times New Roman" w:cs="Arial"/>
                <w:sz w:val="18"/>
                <w:szCs w:val="18"/>
                <w:lang w:val="en-GB" w:eastAsia="en-GB"/>
              </w:rPr>
            </w:pPr>
          </w:p>
        </w:tc>
      </w:tr>
      <w:tr w14:paraId="62E6DFEA">
        <w:tblPrEx>
          <w:tblCellMar>
            <w:top w:w="0" w:type="dxa"/>
            <w:left w:w="108" w:type="dxa"/>
            <w:bottom w:w="0" w:type="dxa"/>
            <w:right w:w="108" w:type="dxa"/>
          </w:tblCellMar>
        </w:tblPrEx>
        <w:tc>
          <w:tcPr>
            <w:tcW w:w="587" w:type="dxa"/>
            <w:shd w:val="clear" w:color="auto" w:fill="EEEEEE"/>
          </w:tcPr>
          <w:p w14:paraId="57CB2789">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14:paraId="27B891DB">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14:paraId="6EC050C1">
            <w:pPr>
              <w:spacing w:before="96" w:beforeLines="40" w:after="96" w:afterLines="40" w:line="24" w:lineRule="atLeast"/>
              <w:rPr>
                <w:rFonts w:eastAsia="Cambria"/>
                <w:sz w:val="18"/>
                <w:szCs w:val="18"/>
                <w:lang w:val="en-GB" w:eastAsia="en-US"/>
              </w:rPr>
            </w:pPr>
          </w:p>
        </w:tc>
        <w:tc>
          <w:tcPr>
            <w:tcW w:w="720" w:type="dxa"/>
            <w:shd w:val="clear" w:color="auto" w:fill="EEEEEE"/>
          </w:tcPr>
          <w:p w14:paraId="3871A389">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7-11</w:t>
            </w:r>
          </w:p>
        </w:tc>
        <w:tc>
          <w:tcPr>
            <w:tcW w:w="4320" w:type="dxa"/>
            <w:shd w:val="clear" w:color="auto" w:fill="EEEEEE"/>
          </w:tcPr>
          <w:p w14:paraId="10C8ADE2">
            <w:pPr>
              <w:spacing w:before="96" w:beforeLines="40" w:after="96" w:afterLines="40" w:line="24" w:lineRule="atLeast"/>
              <w:rPr>
                <w:rFonts w:ascii="Arial" w:hAnsi="Arial" w:eastAsia="Times New Roman" w:cs="Arial"/>
                <w:sz w:val="18"/>
                <w:szCs w:val="18"/>
                <w:lang w:val="en-GB" w:eastAsia="en-US"/>
              </w:rPr>
            </w:pPr>
            <w:r>
              <w:rPr>
                <w:rFonts w:ascii="Arial" w:hAnsi="Arial" w:eastAsia="Times New Roman" w:cs="Arial"/>
                <w:sz w:val="18"/>
                <w:szCs w:val="18"/>
                <w:lang w:val="en-GB" w:eastAsia="en-GB"/>
              </w:rPr>
              <w:t>No directional pleiotropy for BFP/WC; heterogeneity for LDL-C/TG; F&gt;10, no weak instruments</w:t>
            </w:r>
          </w:p>
        </w:tc>
      </w:tr>
      <w:tr w14:paraId="48EE0AFA">
        <w:tblPrEx>
          <w:tblCellMar>
            <w:top w:w="0" w:type="dxa"/>
            <w:left w:w="108" w:type="dxa"/>
            <w:bottom w:w="0" w:type="dxa"/>
            <w:right w:w="108" w:type="dxa"/>
          </w:tblCellMar>
        </w:tblPrEx>
        <w:tc>
          <w:tcPr>
            <w:tcW w:w="587" w:type="dxa"/>
            <w:shd w:val="clear" w:color="auto" w:fill="auto"/>
          </w:tcPr>
          <w:p w14:paraId="4E29121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18A8B0EA">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1A97B456">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tcPr>
          <w:p w14:paraId="6E2D56F0">
            <w:pPr>
              <w:spacing w:before="96" w:beforeLines="40" w:after="96" w:afterLines="40" w:line="24" w:lineRule="atLeast"/>
              <w:rPr>
                <w:rFonts w:eastAsia="Times New Roman"/>
                <w:sz w:val="18"/>
                <w:szCs w:val="18"/>
                <w:lang w:val="en-GB" w:eastAsia="en-GB"/>
              </w:rPr>
            </w:pPr>
          </w:p>
        </w:tc>
        <w:tc>
          <w:tcPr>
            <w:tcW w:w="4320" w:type="dxa"/>
          </w:tcPr>
          <w:p w14:paraId="5E7081D1">
            <w:pPr>
              <w:spacing w:before="96" w:beforeLines="40" w:after="96" w:afterLines="40" w:line="24" w:lineRule="atLeast"/>
              <w:rPr>
                <w:rFonts w:ascii="Arial" w:hAnsi="Arial" w:eastAsia="Times New Roman" w:cs="Arial"/>
                <w:sz w:val="18"/>
                <w:szCs w:val="18"/>
                <w:lang w:val="en-GB" w:eastAsia="en-GB"/>
              </w:rPr>
            </w:pPr>
          </w:p>
        </w:tc>
      </w:tr>
      <w:tr w14:paraId="7BDA55CD">
        <w:tblPrEx>
          <w:tblCellMar>
            <w:top w:w="0" w:type="dxa"/>
            <w:left w:w="108" w:type="dxa"/>
            <w:bottom w:w="0" w:type="dxa"/>
            <w:right w:w="108" w:type="dxa"/>
          </w:tblCellMar>
        </w:tblPrEx>
        <w:tc>
          <w:tcPr>
            <w:tcW w:w="587" w:type="dxa"/>
            <w:shd w:val="clear" w:color="auto" w:fill="EEEEEE"/>
          </w:tcPr>
          <w:p w14:paraId="6F27FA73">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6BC0019D">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400ADD58">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shd w:val="clear" w:color="auto" w:fill="EEEEEE"/>
          </w:tcPr>
          <w:p w14:paraId="2D6E39C6">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205C4ED8">
            <w:pPr>
              <w:spacing w:before="96" w:beforeLines="40" w:after="96" w:afterLines="40" w:line="24" w:lineRule="atLeast"/>
              <w:rPr>
                <w:rFonts w:ascii="Arial" w:hAnsi="Arial" w:eastAsia="Times New Roman" w:cs="Arial"/>
                <w:sz w:val="18"/>
                <w:szCs w:val="18"/>
                <w:lang w:val="en-GB" w:eastAsia="en-GB"/>
              </w:rPr>
            </w:pPr>
          </w:p>
        </w:tc>
      </w:tr>
      <w:tr w14:paraId="23F1C43D">
        <w:tblPrEx>
          <w:tblCellMar>
            <w:top w:w="0" w:type="dxa"/>
            <w:left w:w="108" w:type="dxa"/>
            <w:bottom w:w="0" w:type="dxa"/>
            <w:right w:w="108" w:type="dxa"/>
          </w:tblCellMar>
        </w:tblPrEx>
        <w:tc>
          <w:tcPr>
            <w:tcW w:w="587" w:type="dxa"/>
            <w:shd w:val="clear" w:color="auto" w:fill="auto"/>
          </w:tcPr>
          <w:p w14:paraId="021A9BB4">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14:paraId="51D3F02D">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14:paraId="4AB1D97F">
            <w:pPr>
              <w:spacing w:before="96" w:beforeLines="40" w:after="96" w:afterLines="40" w:line="24" w:lineRule="atLeast"/>
              <w:rPr>
                <w:rFonts w:eastAsia="Cambria"/>
                <w:sz w:val="18"/>
                <w:szCs w:val="18"/>
                <w:lang w:val="en-GB" w:eastAsia="en-US"/>
              </w:rPr>
            </w:pPr>
          </w:p>
        </w:tc>
        <w:tc>
          <w:tcPr>
            <w:tcW w:w="720" w:type="dxa"/>
          </w:tcPr>
          <w:p w14:paraId="50481D19">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7-11</w:t>
            </w:r>
          </w:p>
        </w:tc>
        <w:tc>
          <w:tcPr>
            <w:tcW w:w="4320" w:type="dxa"/>
          </w:tcPr>
          <w:p w14:paraId="0F2C43F0">
            <w:pPr>
              <w:spacing w:before="96" w:beforeLines="40" w:after="96" w:afterLines="40" w:line="24" w:lineRule="atLeast"/>
              <w:rPr>
                <w:rFonts w:ascii="Arial" w:hAnsi="Arial" w:eastAsia="Times New Roman" w:cs="Arial"/>
                <w:sz w:val="18"/>
                <w:szCs w:val="18"/>
                <w:lang w:val="en-GB" w:eastAsia="en-US"/>
              </w:rPr>
            </w:pPr>
            <w:r>
              <w:rPr>
                <w:rFonts w:ascii="Arial" w:hAnsi="Arial" w:eastAsia="Times New Roman" w:cs="Arial"/>
                <w:sz w:val="18"/>
                <w:szCs w:val="18"/>
                <w:lang w:val="en-GB" w:eastAsia="en-GB"/>
              </w:rPr>
              <w:t>MR-Egger/WM consistent for LDL-C/TG; MR-PRESSO removed pleiotropic SNPs, results unchanged</w:t>
            </w:r>
          </w:p>
        </w:tc>
      </w:tr>
      <w:tr w14:paraId="1ABE2F1D">
        <w:tblPrEx>
          <w:tblCellMar>
            <w:top w:w="0" w:type="dxa"/>
            <w:left w:w="108" w:type="dxa"/>
            <w:bottom w:w="0" w:type="dxa"/>
            <w:right w:w="108" w:type="dxa"/>
          </w:tblCellMar>
        </w:tblPrEx>
        <w:tc>
          <w:tcPr>
            <w:tcW w:w="587" w:type="dxa"/>
            <w:shd w:val="clear" w:color="auto" w:fill="EEEEEE"/>
          </w:tcPr>
          <w:p w14:paraId="0D022F9B">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27E8FFD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30AA9260">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73386906">
            <w:pPr>
              <w:spacing w:before="96" w:beforeLines="40" w:after="96" w:afterLines="40" w:line="24" w:lineRule="atLeast"/>
              <w:rPr>
                <w:rFonts w:ascii="Arial" w:hAnsi="Arial" w:eastAsia="Times New Roman" w:cs="Arial"/>
                <w:sz w:val="18"/>
                <w:szCs w:val="18"/>
                <w:lang w:val="en-GB" w:eastAsia="en-GB"/>
              </w:rPr>
            </w:pPr>
          </w:p>
        </w:tc>
      </w:tr>
      <w:tr w14:paraId="3696A9F1">
        <w:tblPrEx>
          <w:tblCellMar>
            <w:top w:w="0" w:type="dxa"/>
            <w:left w:w="108" w:type="dxa"/>
            <w:bottom w:w="0" w:type="dxa"/>
            <w:right w:w="108" w:type="dxa"/>
          </w:tblCellMar>
        </w:tblPrEx>
        <w:tc>
          <w:tcPr>
            <w:tcW w:w="587" w:type="dxa"/>
            <w:shd w:val="clear" w:color="auto" w:fill="auto"/>
          </w:tcPr>
          <w:p w14:paraId="0D2234E5">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7453E1FF">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14:paraId="5111E54D">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tcPr>
          <w:p w14:paraId="447F5BF5">
            <w:pPr>
              <w:spacing w:before="96" w:beforeLines="40" w:after="96" w:afterLines="40" w:line="24" w:lineRule="atLeast"/>
              <w:rPr>
                <w:rFonts w:eastAsia="Times New Roman"/>
                <w:sz w:val="18"/>
                <w:szCs w:val="18"/>
                <w:lang w:val="en-GB" w:eastAsia="en-GB"/>
              </w:rPr>
            </w:pPr>
          </w:p>
        </w:tc>
        <w:tc>
          <w:tcPr>
            <w:tcW w:w="4320" w:type="dxa"/>
          </w:tcPr>
          <w:p w14:paraId="5BB83735">
            <w:pPr>
              <w:spacing w:before="96" w:beforeLines="40" w:after="96" w:afterLines="40" w:line="24" w:lineRule="atLeast"/>
              <w:rPr>
                <w:rFonts w:ascii="Arial" w:hAnsi="Arial" w:eastAsia="Times New Roman" w:cs="Arial"/>
                <w:sz w:val="18"/>
                <w:szCs w:val="18"/>
                <w:lang w:val="en-GB" w:eastAsia="en-GB"/>
              </w:rPr>
            </w:pPr>
          </w:p>
        </w:tc>
      </w:tr>
      <w:tr w14:paraId="1650BAB8">
        <w:tblPrEx>
          <w:tblCellMar>
            <w:top w:w="0" w:type="dxa"/>
            <w:left w:w="108" w:type="dxa"/>
            <w:bottom w:w="0" w:type="dxa"/>
            <w:right w:w="108" w:type="dxa"/>
          </w:tblCellMar>
        </w:tblPrEx>
        <w:tc>
          <w:tcPr>
            <w:tcW w:w="587" w:type="dxa"/>
            <w:shd w:val="clear" w:color="auto" w:fill="EEEEEE"/>
          </w:tcPr>
          <w:p w14:paraId="4D025CC4">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6EAD995A">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14E0FCD9">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66751F07">
            <w:pPr>
              <w:spacing w:before="96" w:beforeLines="40" w:after="96" w:afterLines="40" w:line="24" w:lineRule="atLeast"/>
              <w:rPr>
                <w:rFonts w:ascii="Arial" w:hAnsi="Arial" w:eastAsia="Times New Roman" w:cs="Arial"/>
                <w:sz w:val="18"/>
                <w:szCs w:val="18"/>
                <w:lang w:val="en-GB" w:eastAsia="en-GB"/>
              </w:rPr>
            </w:pPr>
          </w:p>
        </w:tc>
      </w:tr>
      <w:tr w14:paraId="2034ACF7">
        <w:tblPrEx>
          <w:tblCellMar>
            <w:top w:w="0" w:type="dxa"/>
            <w:left w:w="108" w:type="dxa"/>
            <w:bottom w:w="0" w:type="dxa"/>
            <w:right w:w="108" w:type="dxa"/>
          </w:tblCellMar>
        </w:tblPrEx>
        <w:tc>
          <w:tcPr>
            <w:tcW w:w="587" w:type="dxa"/>
            <w:shd w:val="clear" w:color="auto" w:fill="auto"/>
          </w:tcPr>
          <w:p w14:paraId="3217ECED">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5AE90FE5">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14:paraId="3A13AF31">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tcPr>
          <w:p w14:paraId="528F9F4C">
            <w:pPr>
              <w:spacing w:before="96" w:beforeLines="40" w:after="96" w:afterLines="40" w:line="24" w:lineRule="atLeast"/>
              <w:rPr>
                <w:rFonts w:eastAsia="Times New Roman"/>
                <w:sz w:val="18"/>
                <w:szCs w:val="18"/>
                <w:lang w:val="en-GB" w:eastAsia="en-GB"/>
              </w:rPr>
            </w:pPr>
          </w:p>
        </w:tc>
        <w:tc>
          <w:tcPr>
            <w:tcW w:w="4320" w:type="dxa"/>
          </w:tcPr>
          <w:p w14:paraId="7B882C5B">
            <w:pPr>
              <w:spacing w:before="96" w:beforeLines="40" w:after="96" w:afterLines="40" w:line="24" w:lineRule="atLeast"/>
              <w:rPr>
                <w:rFonts w:ascii="Arial" w:hAnsi="Arial" w:eastAsia="Times New Roman" w:cs="Arial"/>
                <w:sz w:val="18"/>
                <w:szCs w:val="18"/>
                <w:lang w:val="en-GB" w:eastAsia="en-GB"/>
              </w:rPr>
            </w:pPr>
          </w:p>
        </w:tc>
      </w:tr>
      <w:tr w14:paraId="3E7CFBFC">
        <w:tblPrEx>
          <w:tblCellMar>
            <w:top w:w="0" w:type="dxa"/>
            <w:left w:w="108" w:type="dxa"/>
            <w:bottom w:w="0" w:type="dxa"/>
            <w:right w:w="108" w:type="dxa"/>
          </w:tblCellMar>
        </w:tblPrEx>
        <w:tc>
          <w:tcPr>
            <w:tcW w:w="587" w:type="dxa"/>
            <w:tcBorders>
              <w:bottom w:val="single" w:color="7F7F7F" w:sz="6" w:space="0"/>
            </w:tcBorders>
            <w:shd w:val="clear" w:color="auto" w:fill="EEEEEE"/>
          </w:tcPr>
          <w:p w14:paraId="1FDC421F">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14:paraId="5FE15030">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14:paraId="61CE32BA">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color="7F7F7F" w:sz="6" w:space="0"/>
            </w:tcBorders>
            <w:shd w:val="clear" w:color="auto" w:fill="EEEEEE"/>
          </w:tcPr>
          <w:p w14:paraId="33892A62">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14:paraId="03A6AB93">
            <w:pPr>
              <w:spacing w:before="96" w:beforeLines="40" w:after="96" w:afterLines="40" w:line="24" w:lineRule="atLeast"/>
              <w:rPr>
                <w:rFonts w:ascii="Arial" w:hAnsi="Arial" w:eastAsia="Times New Roman" w:cs="Arial"/>
                <w:sz w:val="18"/>
                <w:szCs w:val="18"/>
                <w:lang w:val="en-GB" w:eastAsia="en-GB"/>
              </w:rPr>
            </w:pPr>
          </w:p>
        </w:tc>
      </w:tr>
      <w:tr w14:paraId="5B7D2773">
        <w:tblPrEx>
          <w:tblCellMar>
            <w:top w:w="0" w:type="dxa"/>
            <w:left w:w="108" w:type="dxa"/>
            <w:bottom w:w="0" w:type="dxa"/>
            <w:right w:w="108" w:type="dxa"/>
          </w:tblCellMar>
        </w:tblPrEx>
        <w:tc>
          <w:tcPr>
            <w:tcW w:w="587" w:type="dxa"/>
            <w:tcBorders>
              <w:top w:val="single" w:color="7F7F7F" w:sz="6" w:space="0"/>
            </w:tcBorders>
            <w:shd w:val="clear" w:color="auto" w:fill="auto"/>
          </w:tcPr>
          <w:p w14:paraId="5BDBDA65">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1C564B75">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14:paraId="35997729">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1AAD7FFB">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14:paraId="2AE3A897">
            <w:pPr>
              <w:spacing w:before="96" w:beforeLines="40" w:after="96" w:afterLines="40" w:line="24" w:lineRule="atLeast"/>
              <w:rPr>
                <w:rFonts w:ascii="Arial" w:hAnsi="Arial" w:eastAsia="Times New Roman" w:cs="Arial"/>
                <w:sz w:val="18"/>
                <w:szCs w:val="18"/>
                <w:lang w:val="en-GB" w:eastAsia="en-US"/>
              </w:rPr>
            </w:pPr>
          </w:p>
        </w:tc>
      </w:tr>
      <w:tr w14:paraId="1800AF05">
        <w:tblPrEx>
          <w:tblCellMar>
            <w:top w:w="0" w:type="dxa"/>
            <w:left w:w="108" w:type="dxa"/>
            <w:bottom w:w="0" w:type="dxa"/>
            <w:right w:w="108" w:type="dxa"/>
          </w:tblCellMar>
        </w:tblPrEx>
        <w:tc>
          <w:tcPr>
            <w:tcW w:w="587" w:type="dxa"/>
            <w:shd w:val="clear" w:color="auto" w:fill="EEEEEE"/>
          </w:tcPr>
          <w:p w14:paraId="6B5F5286">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14:paraId="42EDC029">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14:paraId="35F1CADF">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20" w:type="dxa"/>
            <w:shd w:val="clear" w:color="auto" w:fill="EEEEEE"/>
          </w:tcPr>
          <w:p w14:paraId="2C7117BF">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12-15</w:t>
            </w:r>
          </w:p>
        </w:tc>
        <w:tc>
          <w:tcPr>
            <w:tcW w:w="4320" w:type="dxa"/>
            <w:shd w:val="clear" w:color="auto" w:fill="EEEEEE"/>
          </w:tcPr>
          <w:p w14:paraId="70F1DDE7">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MetS-HCC causal link; LDL-C/TG protective; adiposity (BFP/WC) risk; glycemic traits no causal role</w:t>
            </w:r>
          </w:p>
        </w:tc>
      </w:tr>
      <w:tr w14:paraId="06BFAFA4">
        <w:tblPrEx>
          <w:tblCellMar>
            <w:top w:w="0" w:type="dxa"/>
            <w:left w:w="108" w:type="dxa"/>
            <w:bottom w:w="0" w:type="dxa"/>
            <w:right w:w="108" w:type="dxa"/>
          </w:tblCellMar>
        </w:tblPrEx>
        <w:tc>
          <w:tcPr>
            <w:tcW w:w="587" w:type="dxa"/>
            <w:shd w:val="clear" w:color="auto" w:fill="auto"/>
          </w:tcPr>
          <w:p w14:paraId="6D471CC5">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14:paraId="5C27961E">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14:paraId="75B6F41B">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20" w:type="dxa"/>
          </w:tcPr>
          <w:p w14:paraId="201D4281">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12-15</w:t>
            </w:r>
          </w:p>
        </w:tc>
        <w:tc>
          <w:tcPr>
            <w:tcW w:w="4320" w:type="dxa"/>
          </w:tcPr>
          <w:p w14:paraId="7CB4BA33">
            <w:pPr>
              <w:spacing w:before="96" w:beforeLines="40" w:after="96" w:afterLines="40" w:line="24" w:lineRule="atLeast"/>
              <w:rPr>
                <w:rFonts w:ascii="Arial" w:hAnsi="Arial" w:eastAsia="Times New Roman" w:cs="Arial"/>
                <w:sz w:val="18"/>
                <w:szCs w:val="18"/>
                <w:lang w:val="en-GB" w:eastAsia="en-GB"/>
              </w:rPr>
            </w:pPr>
            <w:r>
              <w:rPr>
                <w:rFonts w:ascii="Arial" w:hAnsi="Arial" w:eastAsia="Times New Roman" w:cs="Arial"/>
                <w:sz w:val="18"/>
                <w:szCs w:val="18"/>
                <w:lang w:val="en-GB" w:eastAsia="en-GB"/>
              </w:rPr>
              <w:t>European-only data (generalizability), no mediator analysis, limited HCC GWAS, residual confounding</w:t>
            </w:r>
          </w:p>
        </w:tc>
      </w:tr>
      <w:tr w14:paraId="71F8B8B5">
        <w:tblPrEx>
          <w:tblCellMar>
            <w:top w:w="0" w:type="dxa"/>
            <w:left w:w="108" w:type="dxa"/>
            <w:bottom w:w="0" w:type="dxa"/>
            <w:right w:w="108" w:type="dxa"/>
          </w:tblCellMar>
        </w:tblPrEx>
        <w:tc>
          <w:tcPr>
            <w:tcW w:w="587" w:type="dxa"/>
            <w:shd w:val="clear" w:color="auto" w:fill="EEEEEE"/>
          </w:tcPr>
          <w:p w14:paraId="02C1D590">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14:paraId="612AA484">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14:paraId="3BF6466E">
            <w:pPr>
              <w:spacing w:before="96" w:beforeLines="40" w:after="96" w:afterLines="40" w:line="24" w:lineRule="atLeast"/>
              <w:rPr>
                <w:rFonts w:eastAsia="Cambria"/>
                <w:sz w:val="18"/>
                <w:szCs w:val="18"/>
                <w:lang w:val="en-GB" w:eastAsia="en-US"/>
              </w:rPr>
            </w:pPr>
          </w:p>
        </w:tc>
        <w:tc>
          <w:tcPr>
            <w:tcW w:w="720" w:type="dxa"/>
            <w:shd w:val="clear" w:color="auto" w:fill="EEEEEE"/>
          </w:tcPr>
          <w:p w14:paraId="4B5179B2">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12-15</w:t>
            </w:r>
          </w:p>
        </w:tc>
        <w:tc>
          <w:tcPr>
            <w:tcW w:w="4320" w:type="dxa"/>
            <w:shd w:val="clear" w:color="auto" w:fill="EEEEEE"/>
          </w:tcPr>
          <w:p w14:paraId="1C445080">
            <w:pPr>
              <w:spacing w:before="96" w:beforeLines="40" w:after="96" w:afterLines="40" w:line="24" w:lineRule="atLeast"/>
              <w:rPr>
                <w:rFonts w:ascii="Arial" w:hAnsi="Arial" w:eastAsia="Times New Roman" w:cs="Arial"/>
                <w:sz w:val="18"/>
                <w:szCs w:val="18"/>
                <w:lang w:val="en-GB" w:eastAsia="en-US"/>
              </w:rPr>
            </w:pPr>
          </w:p>
        </w:tc>
      </w:tr>
      <w:tr w14:paraId="62E6D51A">
        <w:tblPrEx>
          <w:tblCellMar>
            <w:top w:w="0" w:type="dxa"/>
            <w:left w:w="108" w:type="dxa"/>
            <w:bottom w:w="0" w:type="dxa"/>
            <w:right w:w="108" w:type="dxa"/>
          </w:tblCellMar>
        </w:tblPrEx>
        <w:tc>
          <w:tcPr>
            <w:tcW w:w="587" w:type="dxa"/>
            <w:shd w:val="clear" w:color="auto" w:fill="auto"/>
          </w:tcPr>
          <w:p w14:paraId="6DD2F448">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50F26A29">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14:paraId="7EDF9868">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20" w:type="dxa"/>
          </w:tcPr>
          <w:p w14:paraId="565CC165">
            <w:pPr>
              <w:spacing w:before="96" w:beforeLines="40" w:after="96" w:afterLines="40" w:line="24" w:lineRule="atLeast"/>
              <w:rPr>
                <w:rFonts w:eastAsia="Times New Roman"/>
                <w:sz w:val="18"/>
                <w:szCs w:val="18"/>
                <w:lang w:val="en-GB" w:eastAsia="en-GB"/>
              </w:rPr>
            </w:pPr>
          </w:p>
        </w:tc>
        <w:tc>
          <w:tcPr>
            <w:tcW w:w="4320" w:type="dxa"/>
          </w:tcPr>
          <w:p w14:paraId="5251245C">
            <w:pPr>
              <w:spacing w:before="96" w:beforeLines="40" w:after="96" w:afterLines="40" w:line="24" w:lineRule="atLeast"/>
              <w:rPr>
                <w:rFonts w:ascii="Arial" w:hAnsi="Arial" w:eastAsia="Times New Roman" w:cs="Arial"/>
                <w:sz w:val="18"/>
                <w:szCs w:val="18"/>
                <w:lang w:val="en-GB" w:eastAsia="en-GB"/>
              </w:rPr>
            </w:pPr>
            <w:r>
              <w:rPr>
                <w:rFonts w:hint="eastAsia" w:ascii="Arial" w:hAnsi="Arial" w:eastAsia="Times New Roman" w:cs="Arial"/>
                <w:sz w:val="18"/>
                <w:szCs w:val="18"/>
                <w:lang w:val="en-GB" w:eastAsia="en-GB"/>
              </w:rPr>
              <w:t>LDL‑C/TG may reduce HCC risk via membrane stability/anti‑inflammation; results contrast with some observational data.</w:t>
            </w:r>
            <w:r>
              <w:rPr>
                <w:rFonts w:hint="eastAsia" w:ascii="Arial" w:hAnsi="Arial" w:eastAsia="Times New Roman" w:cs="Arial"/>
                <w:sz w:val="18"/>
                <w:szCs w:val="18"/>
                <w:lang w:val="en-GB" w:eastAsia="en-GB"/>
              </w:rPr>
              <w:tab/>
            </w:r>
          </w:p>
        </w:tc>
      </w:tr>
      <w:tr w14:paraId="156B69E5">
        <w:tblPrEx>
          <w:tblCellMar>
            <w:top w:w="0" w:type="dxa"/>
            <w:left w:w="108" w:type="dxa"/>
            <w:bottom w:w="0" w:type="dxa"/>
            <w:right w:w="108" w:type="dxa"/>
          </w:tblCellMar>
        </w:tblPrEx>
        <w:tc>
          <w:tcPr>
            <w:tcW w:w="587" w:type="dxa"/>
            <w:shd w:val="clear" w:color="auto" w:fill="EEEEEE"/>
          </w:tcPr>
          <w:p w14:paraId="4C8A2215">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14:paraId="6A4A5F16">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422EB891">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2FA4AA4D">
            <w:pPr>
              <w:spacing w:before="96" w:beforeLines="40" w:after="96" w:afterLines="40" w:line="24" w:lineRule="atLeast"/>
              <w:rPr>
                <w:rFonts w:eastAsia="Times New Roman"/>
                <w:sz w:val="18"/>
                <w:szCs w:val="18"/>
                <w:lang w:val="en-GB" w:eastAsia="en-GB"/>
              </w:rPr>
            </w:pPr>
          </w:p>
        </w:tc>
        <w:tc>
          <w:tcPr>
            <w:tcW w:w="4320" w:type="dxa"/>
            <w:shd w:val="clear" w:color="auto" w:fill="EEEEEE"/>
          </w:tcPr>
          <w:p w14:paraId="69BA68CD">
            <w:pPr>
              <w:spacing w:before="96" w:beforeLines="40" w:after="96" w:afterLines="40" w:line="24" w:lineRule="atLeast"/>
              <w:rPr>
                <w:rFonts w:hint="eastAsia" w:ascii="Arial" w:hAnsi="Arial" w:eastAsia="Times New Roman" w:cs="Arial"/>
                <w:sz w:val="18"/>
                <w:szCs w:val="18"/>
                <w:lang w:val="en-GB" w:eastAsia="en-GB"/>
              </w:rPr>
            </w:pPr>
            <w:r>
              <w:rPr>
                <w:rFonts w:hint="eastAsia" w:ascii="Arial" w:hAnsi="Arial" w:eastAsia="Times New Roman" w:cs="Arial"/>
                <w:sz w:val="18"/>
                <w:szCs w:val="18"/>
                <w:lang w:val="en-GB" w:eastAsia="en-GB"/>
              </w:rPr>
              <w:t>Lipids may stabilize hepatocyte membranes, modulate inflammation, enhance anti‑tumor immunity; MR estimates valid under IV assumptions.</w:t>
            </w:r>
          </w:p>
          <w:p w14:paraId="496C4ED4">
            <w:pPr>
              <w:spacing w:before="96" w:beforeLines="40" w:after="96" w:afterLines="40" w:line="24" w:lineRule="atLeast"/>
              <w:rPr>
                <w:rFonts w:ascii="Arial" w:hAnsi="Arial" w:eastAsia="Times New Roman" w:cs="Arial"/>
                <w:sz w:val="18"/>
                <w:szCs w:val="18"/>
                <w:lang w:val="en-GB" w:eastAsia="en-GB"/>
              </w:rPr>
            </w:pPr>
          </w:p>
        </w:tc>
      </w:tr>
      <w:tr w14:paraId="203390A0">
        <w:tblPrEx>
          <w:tblCellMar>
            <w:top w:w="0" w:type="dxa"/>
            <w:left w:w="108" w:type="dxa"/>
            <w:bottom w:w="0" w:type="dxa"/>
            <w:right w:w="108" w:type="dxa"/>
          </w:tblCellMar>
        </w:tblPrEx>
        <w:tc>
          <w:tcPr>
            <w:tcW w:w="587" w:type="dxa"/>
            <w:shd w:val="clear" w:color="auto" w:fill="auto"/>
          </w:tcPr>
          <w:p w14:paraId="54CA3A27">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14:paraId="6D25BA57">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14:paraId="5B6A8315">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tcPr>
          <w:p w14:paraId="32FCF028">
            <w:pPr>
              <w:tabs>
                <w:tab w:val="left" w:pos="1350"/>
              </w:tabs>
              <w:spacing w:before="96" w:beforeLines="40" w:after="96" w:afterLines="40" w:line="24" w:lineRule="atLeast"/>
              <w:rPr>
                <w:rFonts w:eastAsia="Times New Roman"/>
                <w:sz w:val="18"/>
                <w:szCs w:val="18"/>
                <w:lang w:val="en-GB" w:eastAsia="en-GB"/>
              </w:rPr>
            </w:pPr>
          </w:p>
        </w:tc>
        <w:tc>
          <w:tcPr>
            <w:tcW w:w="4320" w:type="dxa"/>
          </w:tcPr>
          <w:p w14:paraId="78058AE6">
            <w:pPr>
              <w:spacing w:before="96" w:beforeLines="40" w:after="96" w:afterLines="40" w:line="24" w:lineRule="atLeast"/>
              <w:rPr>
                <w:rFonts w:ascii="Arial" w:hAnsi="Arial" w:eastAsia="Times New Roman" w:cs="Arial"/>
                <w:sz w:val="18"/>
                <w:szCs w:val="18"/>
                <w:lang w:val="en-GB" w:eastAsia="en-GB"/>
              </w:rPr>
            </w:pPr>
            <w:r>
              <w:rPr>
                <w:rFonts w:hint="eastAsia" w:ascii="Arial" w:hAnsi="Arial" w:eastAsia="Times New Roman" w:cs="Arial"/>
                <w:sz w:val="18"/>
                <w:szCs w:val="18"/>
                <w:lang w:val="en-GB" w:eastAsia="en-GB"/>
              </w:rPr>
              <w:t>Modulating lipid levels may influence HCC risk; requires prospective validation.</w:t>
            </w:r>
          </w:p>
        </w:tc>
      </w:tr>
      <w:tr w14:paraId="71FDAFC1">
        <w:tblPrEx>
          <w:tblCellMar>
            <w:top w:w="0" w:type="dxa"/>
            <w:left w:w="108" w:type="dxa"/>
            <w:bottom w:w="0" w:type="dxa"/>
            <w:right w:w="108" w:type="dxa"/>
          </w:tblCellMar>
        </w:tblPrEx>
        <w:tc>
          <w:tcPr>
            <w:tcW w:w="587" w:type="dxa"/>
            <w:tcBorders>
              <w:bottom w:val="single" w:color="7F7F7F" w:sz="6" w:space="0"/>
            </w:tcBorders>
            <w:shd w:val="clear" w:color="auto" w:fill="EEEEEE"/>
          </w:tcPr>
          <w:p w14:paraId="7540155A">
            <w:pPr>
              <w:spacing w:before="96" w:beforeLines="40" w:after="96" w:afterLines="40" w:line="24" w:lineRule="atLeast"/>
              <w:rPr>
                <w:rFonts w:eastAsia="Times New Roman"/>
                <w:b/>
                <w:bCs/>
                <w:sz w:val="18"/>
                <w:szCs w:val="18"/>
                <w:lang w:val="en-GB" w:eastAsia="en-GB"/>
              </w:rPr>
            </w:pPr>
            <w:bookmarkStart w:id="0" w:name="_GoBack" w:colFirst="3" w:colLast="4"/>
            <w:r>
              <w:rPr>
                <w:rFonts w:eastAsia="Times New Roman"/>
                <w:sz w:val="18"/>
                <w:szCs w:val="18"/>
                <w:lang w:val="en-GB" w:eastAsia="en-GB"/>
              </w:rPr>
              <w:t>17</w:t>
            </w:r>
          </w:p>
        </w:tc>
        <w:tc>
          <w:tcPr>
            <w:tcW w:w="1822" w:type="dxa"/>
            <w:tcBorders>
              <w:bottom w:val="single" w:color="7F7F7F" w:sz="6" w:space="0"/>
            </w:tcBorders>
            <w:shd w:val="clear" w:color="auto" w:fill="EEEEEE"/>
          </w:tcPr>
          <w:p w14:paraId="3680059F">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14:paraId="68647C33">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color="7F7F7F" w:sz="6" w:space="0"/>
            </w:tcBorders>
            <w:shd w:val="clear" w:color="auto" w:fill="EEEEEE"/>
          </w:tcPr>
          <w:p w14:paraId="3ACD3D08">
            <w:pPr>
              <w:spacing w:before="96" w:beforeLines="40" w:after="96" w:afterLines="40" w:line="24" w:lineRule="atLeast"/>
              <w:rPr>
                <w:rFonts w:ascii="Arial" w:hAnsi="Arial" w:eastAsia="Times New Roman" w:cs="Arial"/>
                <w:sz w:val="18"/>
                <w:szCs w:val="18"/>
                <w:lang w:val="en-GB" w:eastAsia="en-GB"/>
              </w:rPr>
            </w:pPr>
          </w:p>
        </w:tc>
        <w:tc>
          <w:tcPr>
            <w:tcW w:w="4320" w:type="dxa"/>
            <w:tcBorders>
              <w:bottom w:val="single" w:color="7F7F7F" w:sz="6" w:space="0"/>
            </w:tcBorders>
            <w:shd w:val="clear" w:color="auto" w:fill="EEEEEE"/>
          </w:tcPr>
          <w:p w14:paraId="41ABF5A9">
            <w:pPr>
              <w:spacing w:before="96" w:beforeLines="40" w:after="96" w:afterLines="40" w:line="24" w:lineRule="atLeast"/>
              <w:rPr>
                <w:rFonts w:hint="eastAsia" w:ascii="Arial" w:hAnsi="Arial" w:eastAsia="Times New Roman" w:cs="Arial"/>
                <w:sz w:val="18"/>
                <w:szCs w:val="18"/>
                <w:lang w:val="en-GB" w:eastAsia="en-GB"/>
              </w:rPr>
            </w:pPr>
            <w:r>
              <w:rPr>
                <w:rFonts w:hint="eastAsia" w:ascii="Arial" w:hAnsi="Arial" w:eastAsia="Times New Roman" w:cs="Arial"/>
                <w:sz w:val="18"/>
                <w:szCs w:val="18"/>
                <w:lang w:val="en-GB" w:eastAsia="en-GB"/>
              </w:rPr>
              <w:t xml:space="preserve"> Results limited to European ancestry; uncertain generalizability to non</w:t>
            </w:r>
            <w:r>
              <w:rPr>
                <w:rFonts w:hint="eastAsia" w:ascii="Arial" w:hAnsi="Arial" w:eastAsia="Times New Roman" w:cs="Arial"/>
                <w:sz w:val="18"/>
                <w:szCs w:val="18"/>
                <w:lang w:val="en-GB" w:eastAsia="en-GB"/>
              </w:rPr>
              <w:noBreakHyphen/>
            </w:r>
            <w:r>
              <w:rPr>
                <w:rFonts w:hint="eastAsia" w:ascii="Arial" w:hAnsi="Arial" w:eastAsia="Times New Roman" w:cs="Arial"/>
                <w:sz w:val="18"/>
                <w:szCs w:val="18"/>
                <w:lang w:val="en-GB" w:eastAsia="en-GB"/>
              </w:rPr>
              <w:t>European populations.</w:t>
            </w:r>
          </w:p>
        </w:tc>
      </w:tr>
      <w:tr w14:paraId="57884E75">
        <w:tblPrEx>
          <w:tblCellMar>
            <w:top w:w="0" w:type="dxa"/>
            <w:left w:w="108" w:type="dxa"/>
            <w:bottom w:w="0" w:type="dxa"/>
            <w:right w:w="108" w:type="dxa"/>
          </w:tblCellMar>
        </w:tblPrEx>
        <w:tc>
          <w:tcPr>
            <w:tcW w:w="587" w:type="dxa"/>
            <w:tcBorders>
              <w:top w:val="single" w:color="7F7F7F" w:sz="6" w:space="0"/>
            </w:tcBorders>
            <w:shd w:val="clear" w:color="auto" w:fill="auto"/>
          </w:tcPr>
          <w:p w14:paraId="2C4C694A">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14:paraId="0A6FFE33">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14:paraId="0577947E">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14:paraId="7561574C">
            <w:pPr>
              <w:spacing w:before="96" w:beforeLines="40" w:after="96" w:afterLines="40" w:line="24" w:lineRule="atLeast"/>
              <w:rPr>
                <w:rFonts w:ascii="Arial" w:hAnsi="Arial" w:eastAsia="Times New Roman" w:cs="Arial"/>
                <w:sz w:val="18"/>
                <w:szCs w:val="18"/>
                <w:lang w:val="en-GB" w:eastAsia="en-US"/>
              </w:rPr>
            </w:pPr>
          </w:p>
        </w:tc>
        <w:tc>
          <w:tcPr>
            <w:tcW w:w="4320" w:type="dxa"/>
            <w:tcBorders>
              <w:top w:val="single" w:color="7F7F7F" w:sz="6" w:space="0"/>
            </w:tcBorders>
          </w:tcPr>
          <w:p w14:paraId="3718ED5B">
            <w:pPr>
              <w:spacing w:before="96" w:beforeLines="40" w:after="96" w:afterLines="40" w:line="24" w:lineRule="atLeast"/>
              <w:rPr>
                <w:rFonts w:hint="eastAsia" w:ascii="Arial" w:hAnsi="Arial" w:eastAsia="Times New Roman" w:cs="Arial"/>
                <w:sz w:val="18"/>
                <w:szCs w:val="18"/>
                <w:lang w:val="en-GB" w:eastAsia="en-US"/>
              </w:rPr>
            </w:pPr>
          </w:p>
        </w:tc>
      </w:tr>
      <w:tr w14:paraId="0014C6D1">
        <w:tblPrEx>
          <w:tblCellMar>
            <w:top w:w="0" w:type="dxa"/>
            <w:left w:w="108" w:type="dxa"/>
            <w:bottom w:w="0" w:type="dxa"/>
            <w:right w:w="108" w:type="dxa"/>
          </w:tblCellMar>
        </w:tblPrEx>
        <w:tc>
          <w:tcPr>
            <w:tcW w:w="587" w:type="dxa"/>
            <w:shd w:val="clear" w:color="auto" w:fill="EEEEEE"/>
          </w:tcPr>
          <w:p w14:paraId="2336D08C">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14:paraId="08EB4FDF">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14:paraId="4663DCA7">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pPr>
              <w:spacing w:before="96" w:beforeLines="40" w:after="96" w:afterLines="40" w:line="24" w:lineRule="atLeast"/>
              <w:rPr>
                <w:rFonts w:hint="default" w:ascii="Arial" w:hAnsi="Arial" w:eastAsia="Times New Roman" w:cs="Arial"/>
                <w:sz w:val="18"/>
                <w:szCs w:val="18"/>
                <w:lang w:val="en-US" w:eastAsia="zh-CN"/>
              </w:rPr>
            </w:pPr>
            <w:r>
              <w:rPr>
                <w:rFonts w:hint="eastAsia" w:ascii="Arial" w:hAnsi="Arial" w:eastAsia="Times New Roman" w:cs="Arial"/>
                <w:sz w:val="18"/>
                <w:szCs w:val="18"/>
                <w:lang w:val="en-US" w:eastAsia="zh-CN"/>
              </w:rPr>
              <w:t>16</w:t>
            </w:r>
          </w:p>
        </w:tc>
        <w:tc>
          <w:tcPr>
            <w:tcW w:w="4320" w:type="dxa"/>
            <w:shd w:val="clear" w:color="auto" w:fill="EEEEEE"/>
          </w:tcPr>
          <w:p w14:paraId="2C6CE5FF">
            <w:pPr>
              <w:spacing w:before="96" w:beforeLines="40" w:after="96" w:afterLines="40" w:line="24" w:lineRule="atLeast"/>
              <w:rPr>
                <w:rFonts w:ascii="Arial" w:hAnsi="Arial" w:eastAsia="Times New Roman" w:cs="Arial"/>
                <w:sz w:val="18"/>
                <w:szCs w:val="18"/>
                <w:lang w:val="en-GB" w:eastAsia="en-GB"/>
              </w:rPr>
            </w:pPr>
            <w:r>
              <w:rPr>
                <w:rFonts w:hint="default" w:ascii="Arial" w:hAnsi="Arial" w:eastAsia="Times New Roman" w:cs="Arial"/>
                <w:sz w:val="18"/>
                <w:szCs w:val="18"/>
                <w:lang w:val="en-US" w:eastAsia="zh-CN"/>
              </w:rPr>
              <w:t>The author acknowledges the financial support from the National Natural Science Foundation of China (Grant Nos. 82073200).</w:t>
            </w:r>
          </w:p>
        </w:tc>
      </w:tr>
      <w:tr w14:paraId="1B22CB41">
        <w:tblPrEx>
          <w:tblCellMar>
            <w:top w:w="0" w:type="dxa"/>
            <w:left w:w="108" w:type="dxa"/>
            <w:bottom w:w="0" w:type="dxa"/>
            <w:right w:w="108" w:type="dxa"/>
          </w:tblCellMar>
        </w:tblPrEx>
        <w:tc>
          <w:tcPr>
            <w:tcW w:w="587" w:type="dxa"/>
            <w:shd w:val="clear" w:color="auto" w:fill="auto"/>
          </w:tcPr>
          <w:p w14:paraId="381BF2BA">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14:paraId="233BA942">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14:paraId="42D9085E">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14:paraId="5725EE6D">
            <w:pPr>
              <w:spacing w:before="96" w:beforeLines="40" w:after="96" w:afterLines="40" w:line="24" w:lineRule="atLeast"/>
              <w:rPr>
                <w:rFonts w:hint="default" w:ascii="Arial" w:hAnsi="Arial" w:eastAsia="Times New Roman" w:cs="Arial"/>
                <w:sz w:val="18"/>
                <w:szCs w:val="18"/>
                <w:lang w:val="en-US" w:eastAsia="zh-CN"/>
              </w:rPr>
            </w:pPr>
            <w:r>
              <w:rPr>
                <w:rFonts w:hint="eastAsia" w:ascii="Arial" w:hAnsi="Arial" w:eastAsia="Times New Roman" w:cs="Arial"/>
                <w:sz w:val="18"/>
                <w:szCs w:val="18"/>
                <w:lang w:val="en-US" w:eastAsia="zh-CN"/>
              </w:rPr>
              <w:t>16</w:t>
            </w:r>
          </w:p>
        </w:tc>
        <w:tc>
          <w:tcPr>
            <w:tcW w:w="4320" w:type="dxa"/>
          </w:tcPr>
          <w:p w14:paraId="38DE3AA7">
            <w:pPr>
              <w:spacing w:before="96" w:beforeLines="40" w:after="96" w:afterLines="40" w:line="24" w:lineRule="atLeast"/>
              <w:rPr>
                <w:rFonts w:ascii="Arial" w:hAnsi="Arial" w:eastAsia="Times New Roman" w:cs="Arial"/>
                <w:sz w:val="18"/>
                <w:szCs w:val="18"/>
                <w:lang w:val="en-GB" w:eastAsia="en-GB"/>
              </w:rPr>
            </w:pPr>
            <w:r>
              <w:rPr>
                <w:rFonts w:hint="default" w:ascii="Arial" w:hAnsi="Arial" w:eastAsia="Times New Roman" w:cs="Arial"/>
                <w:sz w:val="18"/>
                <w:szCs w:val="18"/>
                <w:lang w:val="en-US" w:eastAsia="zh-CN"/>
              </w:rPr>
              <w:t>The data that support the findings of this study are available from the corresponding author upon reasonable request.</w:t>
            </w:r>
          </w:p>
        </w:tc>
      </w:tr>
      <w:tr w14:paraId="1BFE6A86">
        <w:tblPrEx>
          <w:tblCellMar>
            <w:top w:w="0" w:type="dxa"/>
            <w:left w:w="108" w:type="dxa"/>
            <w:bottom w:w="0" w:type="dxa"/>
            <w:right w:w="108" w:type="dxa"/>
          </w:tblCellMar>
        </w:tblPrEx>
        <w:tc>
          <w:tcPr>
            <w:tcW w:w="587" w:type="dxa"/>
            <w:tcBorders>
              <w:bottom w:val="single" w:color="7F7F7F" w:sz="6" w:space="0"/>
            </w:tcBorders>
            <w:shd w:val="clear" w:color="auto" w:fill="EEEEEE"/>
          </w:tcPr>
          <w:p w14:paraId="20DC2C92">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14:paraId="39A69A1B">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14:paraId="4772D912">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color="7F7F7F" w:sz="6" w:space="0"/>
            </w:tcBorders>
            <w:shd w:val="clear" w:color="auto" w:fill="EEEEEE"/>
          </w:tcPr>
          <w:p w14:paraId="1B63BC8B">
            <w:pPr>
              <w:spacing w:before="96" w:beforeLines="40" w:after="96" w:afterLines="40" w:line="24" w:lineRule="atLeast"/>
              <w:rPr>
                <w:rFonts w:hint="default" w:ascii="Arial" w:hAnsi="Arial" w:eastAsia="Times New Roman" w:cs="Arial"/>
                <w:sz w:val="18"/>
                <w:szCs w:val="18"/>
                <w:lang w:val="en-US" w:eastAsia="zh-CN"/>
              </w:rPr>
            </w:pPr>
            <w:r>
              <w:rPr>
                <w:rFonts w:hint="eastAsia" w:ascii="Arial" w:hAnsi="Arial" w:eastAsia="Times New Roman" w:cs="Arial"/>
                <w:sz w:val="18"/>
                <w:szCs w:val="18"/>
                <w:lang w:val="en-US" w:eastAsia="zh-CN"/>
              </w:rPr>
              <w:t>16</w:t>
            </w:r>
          </w:p>
        </w:tc>
        <w:tc>
          <w:tcPr>
            <w:tcW w:w="4320" w:type="dxa"/>
            <w:tcBorders>
              <w:bottom w:val="single" w:color="7F7F7F" w:sz="6" w:space="0"/>
            </w:tcBorders>
            <w:shd w:val="clear" w:color="auto" w:fill="EEEEEE"/>
          </w:tcPr>
          <w:p w14:paraId="5D9123A4">
            <w:pPr>
              <w:spacing w:before="96" w:beforeLines="40" w:after="96" w:afterLines="40" w:line="24" w:lineRule="atLeast"/>
              <w:rPr>
                <w:rFonts w:ascii="Arial" w:hAnsi="Arial" w:eastAsia="Times New Roman" w:cs="Arial"/>
                <w:sz w:val="18"/>
                <w:szCs w:val="18"/>
                <w:lang w:val="en-GB" w:eastAsia="en-GB"/>
              </w:rPr>
            </w:pPr>
            <w:r>
              <w:rPr>
                <w:rFonts w:hint="default" w:ascii="Arial" w:hAnsi="Arial" w:eastAsia="Times New Roman" w:cs="Arial"/>
                <w:sz w:val="18"/>
                <w:szCs w:val="18"/>
                <w:lang w:val="en-US" w:eastAsia="zh-CN"/>
              </w:rPr>
              <w:t>There are no conflicts of interest to declare.</w:t>
            </w:r>
          </w:p>
        </w:tc>
      </w:tr>
      <w:bookmarkEnd w:id="0"/>
    </w:tbl>
    <w:p w14:paraId="386115B2">
      <w:pPr>
        <w:spacing w:before="240" w:after="240"/>
        <w:rPr>
          <w:sz w:val="19"/>
          <w:szCs w:val="19"/>
        </w:rPr>
      </w:pPr>
      <w:r>
        <w:rPr>
          <w:sz w:val="19"/>
          <w:szCs w:val="19"/>
        </w:rPr>
        <w:t>This checklist is copyrighted by the Equator Network under the Creative Commons Attribution 3.0 Unported (CC BY 3.0) license.</w:t>
      </w:r>
    </w:p>
    <w:p w14:paraId="5DDF8A06">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14:paraId="63BF03A9">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variable"/>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 w:name="@宋体">
    <w:panose1 w:val="02010600030101010101"/>
    <w:charset w:val="86"/>
    <w:family w:val="auto"/>
    <w:pitch w:val="variable"/>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B7B5E">
    <w:pPr>
      <w:pStyle w:val="2"/>
      <w:jc w:val="right"/>
    </w:pPr>
    <w:r>
      <w:fldChar w:fldCharType="begin"/>
    </w:r>
    <w:r>
      <w:instrText xml:space="preserve"> PAGE   \* MERGEFORMAT </w:instrText>
    </w:r>
    <w:r>
      <w:fldChar w:fldCharType="separate"/>
    </w:r>
    <w:r>
      <w:t>1</w:t>
    </w:r>
    <w:r>
      <w:fldChar w:fldCharType="end"/>
    </w:r>
  </w:p>
  <w:p w14:paraId="41D89672">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4A166">
    <w:pPr>
      <w:pStyle w:val="2"/>
      <w:framePr w:wrap="auto" w:vAnchor="text" w:hAnchor="margin" w:xAlign="right" w:y="1"/>
      <w:rPr>
        <w:rStyle w:val="6"/>
      </w:rPr>
    </w:pPr>
  </w:p>
  <w:p w14:paraId="40A0897E">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720"/>
  <w:displayHorizontalDrawingGridEvery w:val="0"/>
  <w:displayVerticalDrawingGridEvery w:val="2"/>
  <w:characterSpacingControl w:val="doNotCompress"/>
  <w:footnotePr>
    <w:footnote w:id="0"/>
    <w:footnote w:id="1"/>
  </w:footnotePr>
  <w:endnotePr>
    <w:endnote w:id="0"/>
    <w:endnote w:id="1"/>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03364DD8"/>
    <w:rsid w:val="04B86DCC"/>
    <w:rsid w:val="0BF226E5"/>
    <w:rsid w:val="2CE87EAA"/>
    <w:rsid w:val="670151B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pPr>
    <w:rPr>
      <w:rFonts w:ascii="Arial" w:hAnsi="Arial" w:eastAsia="Arial" w:cs="Arial"/>
      <w:sz w:val="22"/>
      <w:szCs w:val="22"/>
      <w:lang w:val="en" w:eastAsia="de-CH" w:bidi="ar-SA"/>
    </w:rPr>
  </w:style>
  <w:style w:type="character" w:default="1" w:styleId="5">
    <w:name w:val="Default Paragraph Font"/>
    <w:semiHidden/>
    <w:unhideWhenUsed/>
    <w:uiPriority w:val="1"/>
  </w:style>
  <w:style w:type="table" w:default="1" w:styleId="3">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680"/>
        <w:tab w:val="right" w:pos="9360"/>
      </w:tabs>
      <w:spacing w:line="240" w:lineRule="auto"/>
    </w:pPr>
  </w:style>
  <w:style w:type="table" w:styleId="4">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page number"/>
    <w:basedOn w:val="5"/>
    <w:semiHidden/>
    <w:unhideWhenUsed/>
    <w:uiPriority w:val="99"/>
  </w:style>
  <w:style w:type="character" w:styleId="7">
    <w:name w:val="line number"/>
    <w:basedOn w:val="5"/>
    <w:semiHidden/>
    <w:unhideWhenUsed/>
    <w:uiPriority w:val="99"/>
  </w:style>
  <w:style w:type="character" w:customStyle="1" w:styleId="8">
    <w:name w:val="Footer Char"/>
    <w:basedOn w:val="5"/>
    <w:link w:val="2"/>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datastoreItem>
</file>

<file path=customXml/itemProps2.xml><?xml version="1.0" encoding="utf-8"?>
<ds:datastoreItem xmlns:ds="http://schemas.openxmlformats.org/officeDocument/2006/customXml" ds:itemID="{9FB0931C-FCE2-4CC4-80DE-15614B41F1F9}">
  <ds:schemaRefs/>
</ds:datastoreItem>
</file>

<file path=customXml/itemProps3.xml><?xml version="1.0" encoding="utf-8"?>
<ds:datastoreItem xmlns:ds="http://schemas.openxmlformats.org/officeDocument/2006/customXml" ds:itemID="{5DF20111-77FD-4F18-8E31-D737874646AB}">
  <ds:schemaRefs/>
</ds:datastoreItem>
</file>

<file path=customXml/itemProps4.xml><?xml version="1.0" encoding="utf-8"?>
<ds:datastoreItem xmlns:ds="http://schemas.openxmlformats.org/officeDocument/2006/customXml" ds:itemID="{A9898B61-61B7-44F1-9388-8B27875B1EDA}">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5</Pages>
  <Words>1118</Words>
  <Characters>6520</Characters>
  <Lines>286</Lines>
  <Paragraphs>146</Paragraphs>
  <TotalTime>41</TotalTime>
  <ScaleCrop>false</ScaleCrop>
  <LinksUpToDate>false</LinksUpToDate>
  <CharactersWithSpaces>7535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山路佐德</cp:lastModifiedBy>
  <cp:lastPrinted>2021-09-28T07:08:00Z</cp:lastPrinted>
  <dcterms:modified xsi:type="dcterms:W3CDTF">2026-05-28T05:29:01Z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2052-12.1.0.25865</vt:lpwstr>
  </property>
  <property fmtid="{D5CDD505-2E9C-101B-9397-08002B2CF9AE}" pid="27" name="ICV">
    <vt:lpwstr>23D48B48135B45788D28EA364CF7CC19_13</vt:lpwstr>
  </property>
  <property fmtid="{D5CDD505-2E9C-101B-9397-08002B2CF9AE}" pid="28" name="KSOTemplateDocerSaveRecord">
    <vt:lpwstr>eyJoZGlkIjoiMDA3YzlkMDhjMzU4NGQ4YTY5YjA3NGIzYjg1MGZkYWYiLCJ1c2VySWQiOiIyNDA4ODM1NjEifQ==</vt:lpwstr>
  </property>
</Properties>
</file>