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9D27" w14:textId="354099D0" w:rsidR="008054D8" w:rsidRDefault="00A8527C" w:rsidP="00AA4313">
      <w:pPr>
        <w:spacing w:after="120"/>
      </w:pPr>
      <w:r>
        <w:rPr>
          <w:b/>
          <w:bCs/>
          <w:sz w:val="28"/>
          <w:szCs w:val="28"/>
        </w:rPr>
        <w:t>STROBE Checklist for Observational Cohort Studies</w:t>
      </w: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5"/>
        <w:gridCol w:w="4637"/>
        <w:gridCol w:w="879"/>
        <w:gridCol w:w="1276"/>
        <w:gridCol w:w="7861"/>
      </w:tblGrid>
      <w:tr w:rsidR="008054D8" w14:paraId="61F9D876" w14:textId="77777777">
        <w:tc>
          <w:tcPr>
            <w:tcW w:w="0" w:type="auto"/>
            <w:gridSpan w:val="5"/>
            <w:tcBorders>
              <w:top w:val="single" w:sz="12" w:space="0" w:color="000000"/>
              <w:left w:val="single" w:sz="4" w:space="0" w:color="000000"/>
              <w:bottom w:val="single" w:sz="12" w:space="0" w:color="000000"/>
              <w:right w:val="single" w:sz="4" w:space="0" w:color="000000"/>
            </w:tcBorders>
            <w:shd w:val="clear" w:color="auto" w:fill="595959"/>
            <w:tcMar>
              <w:top w:w="60" w:type="dxa"/>
              <w:left w:w="120" w:type="dxa"/>
              <w:bottom w:w="60" w:type="dxa"/>
              <w:right w:w="120" w:type="dxa"/>
            </w:tcMar>
          </w:tcPr>
          <w:p w14:paraId="36F4A20F" w14:textId="77777777" w:rsidR="008054D8" w:rsidRDefault="00A8527C">
            <w:r>
              <w:rPr>
                <w:b/>
                <w:bCs/>
                <w:color w:val="FFFFFF"/>
                <w:sz w:val="18"/>
                <w:szCs w:val="18"/>
              </w:rPr>
              <w:t>TITLE AND ABSTRACT</w:t>
            </w:r>
          </w:p>
        </w:tc>
      </w:tr>
      <w:tr w:rsidR="008054D8" w14:paraId="1155332E"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8F21DDA" w14:textId="77777777" w:rsidR="008054D8" w:rsidRDefault="00A8527C">
            <w:pPr>
              <w:jc w:val="center"/>
            </w:pPr>
            <w:r>
              <w:rPr>
                <w:b/>
                <w:bCs/>
                <w:color w:val="000000"/>
                <w:sz w:val="18"/>
                <w:szCs w:val="18"/>
              </w:rPr>
              <w:t>1(a)</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B701F1F" w14:textId="77777777" w:rsidR="008054D8" w:rsidRDefault="00A8527C">
            <w:r>
              <w:rPr>
                <w:color w:val="000000"/>
                <w:sz w:val="18"/>
                <w:szCs w:val="18"/>
              </w:rPr>
              <w:t>Indicate the study’s design with a commonly used term in the title or the abstract.</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766A374" w14:textId="77777777" w:rsidR="008054D8" w:rsidRDefault="00A8527C">
            <w:pPr>
              <w:jc w:val="cente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7998602"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7B6F803" w14:textId="77777777" w:rsidR="008054D8" w:rsidRDefault="00A8527C">
            <w:r>
              <w:rPr>
                <w:color w:val="000000"/>
                <w:sz w:val="18"/>
                <w:szCs w:val="18"/>
              </w:rPr>
              <w:t>“Prospective cohort study” is stated in the manuscript title. The abstract Methods section states: “A prospective observational cohort study was conducted…”</w:t>
            </w:r>
          </w:p>
        </w:tc>
      </w:tr>
      <w:tr w:rsidR="008054D8" w14:paraId="18FEDCEE"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C992602" w14:textId="77777777" w:rsidR="008054D8" w:rsidRDefault="00A8527C">
            <w:pPr>
              <w:jc w:val="center"/>
            </w:pPr>
            <w:r>
              <w:rPr>
                <w:b/>
                <w:bCs/>
                <w:color w:val="000000"/>
                <w:sz w:val="18"/>
                <w:szCs w:val="18"/>
              </w:rPr>
              <w:t>1(b)</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A53DA57" w14:textId="77777777" w:rsidR="008054D8" w:rsidRDefault="00A8527C">
            <w:r>
              <w:rPr>
                <w:color w:val="000000"/>
                <w:sz w:val="18"/>
                <w:szCs w:val="18"/>
              </w:rPr>
              <w:t>Provide in the abstract an informative and balanced summary of what was done and what was found.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DEC1D9D" w14:textId="77777777" w:rsidR="008054D8" w:rsidRDefault="00A8527C">
            <w:pPr>
              <w:jc w:val="center"/>
            </w:pPr>
            <w:r>
              <w:rPr>
                <w:color w:val="000000"/>
                <w:sz w:val="18"/>
                <w:szCs w:val="18"/>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638D9FD"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E0FA376" w14:textId="77777777" w:rsidR="008054D8" w:rsidRDefault="00A8527C">
            <w:r>
              <w:rPr>
                <w:color w:val="000000"/>
                <w:sz w:val="18"/>
                <w:szCs w:val="18"/>
              </w:rPr>
              <w:t>Structured abstract with Background, Methods, Results, and Conclusions. Key quantitative findings reported in Results: Brighton PEWS eligibility 25.6% (157/613) at arrival; Bedside PEWS eligibility 21.4% (131/613) at arrival; 60.9% Brighton and 60.3% Bedside eligibility among ETAT Emergency-category children; demand:capacity ratio 39:1 for Brighton and 33:1 for Bedside; nine of 675 recruited children (1.3%) received ICU-level care, all in adult ICUs at KBTH. Conclusions state both demand:capacity ratios and the eligibility-to-ICU-access proportions (25.6%/21.4% vs 1.3%) as the central findings.</w:t>
            </w:r>
          </w:p>
        </w:tc>
      </w:tr>
      <w:tr w:rsidR="008054D8" w14:paraId="19B20459" w14:textId="77777777">
        <w:tc>
          <w:tcPr>
            <w:tcW w:w="0" w:type="auto"/>
            <w:gridSpan w:val="5"/>
            <w:tcBorders>
              <w:top w:val="single" w:sz="12" w:space="0" w:color="000000"/>
              <w:left w:val="single" w:sz="4" w:space="0" w:color="000000"/>
              <w:bottom w:val="single" w:sz="12" w:space="0" w:color="000000"/>
              <w:right w:val="single" w:sz="4" w:space="0" w:color="000000"/>
            </w:tcBorders>
            <w:shd w:val="clear" w:color="auto" w:fill="595959"/>
            <w:tcMar>
              <w:top w:w="60" w:type="dxa"/>
              <w:left w:w="120" w:type="dxa"/>
              <w:bottom w:w="60" w:type="dxa"/>
              <w:right w:w="120" w:type="dxa"/>
            </w:tcMar>
          </w:tcPr>
          <w:p w14:paraId="046E61FE" w14:textId="77777777" w:rsidR="008054D8" w:rsidRDefault="00A8527C">
            <w:r>
              <w:rPr>
                <w:b/>
                <w:bCs/>
                <w:color w:val="FFFFFF"/>
                <w:sz w:val="18"/>
                <w:szCs w:val="18"/>
              </w:rPr>
              <w:t>INTRODUCTION</w:t>
            </w:r>
          </w:p>
        </w:tc>
      </w:tr>
      <w:tr w:rsidR="008054D8" w14:paraId="4675228F"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D5D9136" w14:textId="77777777" w:rsidR="008054D8" w:rsidRDefault="00A8527C">
            <w:pPr>
              <w:jc w:val="center"/>
            </w:pPr>
            <w:r>
              <w:rPr>
                <w:b/>
                <w:bCs/>
                <w:color w:val="000000"/>
                <w:sz w:val="18"/>
                <w:szCs w:val="18"/>
              </w:rPr>
              <w:t>2</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998BE60" w14:textId="77777777" w:rsidR="008054D8" w:rsidRDefault="00A8527C">
            <w:r>
              <w:rPr>
                <w:color w:val="000000"/>
                <w:sz w:val="18"/>
                <w:szCs w:val="18"/>
              </w:rPr>
              <w:t>Explain the scientific background and rationale for the investigation being reported.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3CC4916" w14:textId="77777777" w:rsidR="008054D8" w:rsidRDefault="00A8527C">
            <w:pPr>
              <w:jc w:val="center"/>
            </w:pPr>
            <w:r>
              <w:rPr>
                <w:color w:val="000000"/>
                <w:sz w:val="18"/>
                <w:szCs w:val="18"/>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F1C8D28"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5603244" w14:textId="115D089C" w:rsidR="008054D8" w:rsidRDefault="00A8527C">
            <w:r>
              <w:rPr>
                <w:color w:val="000000"/>
                <w:sz w:val="18"/>
                <w:szCs w:val="18"/>
              </w:rPr>
              <w:t>Background establishes the global under-5 mortality burden (5.2 million deaths in 2019; over 80% in sub-Saharan Africa and South Asia) and Ghana’s critical care deficit (0.5 ICU beds per 100,000 population; three operating PICUs nationally identified at the 2020 nationwide survey). The rationale for using PEWS thresholds as a proxy for unmet critical care need in settings where PICU transfer data are not generated is argued. The distinction between ETAT (triage classification) and PEWS (serial physiological quantification) is drawn in a dedicated paragraph.</w:t>
            </w:r>
          </w:p>
        </w:tc>
      </w:tr>
      <w:tr w:rsidR="008054D8" w14:paraId="74B90BD3"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6BBA936" w14:textId="77777777" w:rsidR="008054D8" w:rsidRDefault="00A8527C">
            <w:pPr>
              <w:jc w:val="center"/>
            </w:pPr>
            <w:r>
              <w:rPr>
                <w:b/>
                <w:bCs/>
                <w:color w:val="000000"/>
                <w:sz w:val="18"/>
                <w:szCs w:val="18"/>
              </w:rPr>
              <w:t>3</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8572741" w14:textId="77777777" w:rsidR="008054D8" w:rsidRDefault="00A8527C">
            <w:r>
              <w:rPr>
                <w:color w:val="000000"/>
                <w:sz w:val="18"/>
                <w:szCs w:val="18"/>
              </w:rPr>
              <w:t>State specific objectives, including any prespecified hypotheses.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289A9A8" w14:textId="77777777" w:rsidR="008054D8" w:rsidRDefault="00A8527C">
            <w:pPr>
              <w:jc w:val="center"/>
            </w:pPr>
            <w:r>
              <w:rPr>
                <w:color w:val="000000"/>
                <w:sz w:val="18"/>
                <w:szCs w:val="18"/>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763E389E"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C0EF425" w14:textId="77777777" w:rsidR="008054D8" w:rsidRDefault="00A8527C">
            <w:r>
              <w:rPr>
                <w:color w:val="000000"/>
                <w:sz w:val="18"/>
                <w:szCs w:val="18"/>
              </w:rPr>
              <w:t>Three objectives are stated in a single closing sentence of the Background: “This study quantifies the proportion of children presenting to the PEU at KBTH who met validated PICU consideration criteria at arrival and across the first 24 hours, examines variation by triage category and age group, and compares estimated eligibility against available PICU capacity.” These correspond directly to the Results subsections and are returned to in the Discussion and Conclusions.</w:t>
            </w:r>
          </w:p>
        </w:tc>
      </w:tr>
      <w:tr w:rsidR="008054D8" w14:paraId="11090EB1" w14:textId="77777777">
        <w:tc>
          <w:tcPr>
            <w:tcW w:w="0" w:type="auto"/>
            <w:gridSpan w:val="5"/>
            <w:tcBorders>
              <w:top w:val="single" w:sz="12" w:space="0" w:color="000000"/>
              <w:left w:val="single" w:sz="4" w:space="0" w:color="000000"/>
              <w:bottom w:val="single" w:sz="12" w:space="0" w:color="000000"/>
              <w:right w:val="single" w:sz="4" w:space="0" w:color="000000"/>
            </w:tcBorders>
            <w:shd w:val="clear" w:color="auto" w:fill="595959"/>
            <w:tcMar>
              <w:top w:w="60" w:type="dxa"/>
              <w:left w:w="120" w:type="dxa"/>
              <w:bottom w:w="60" w:type="dxa"/>
              <w:right w:w="120" w:type="dxa"/>
            </w:tcMar>
          </w:tcPr>
          <w:p w14:paraId="7A079C6E" w14:textId="77777777" w:rsidR="008054D8" w:rsidRDefault="00A8527C">
            <w:r>
              <w:rPr>
                <w:b/>
                <w:bCs/>
                <w:color w:val="FFFFFF"/>
                <w:sz w:val="18"/>
                <w:szCs w:val="18"/>
              </w:rPr>
              <w:t>METHODS</w:t>
            </w:r>
          </w:p>
        </w:tc>
      </w:tr>
      <w:tr w:rsidR="008054D8" w14:paraId="6D0322D0"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38550FA" w14:textId="77777777" w:rsidR="008054D8" w:rsidRDefault="00A8527C">
            <w:pPr>
              <w:jc w:val="center"/>
            </w:pPr>
            <w:r>
              <w:rPr>
                <w:b/>
                <w:bCs/>
                <w:color w:val="000000"/>
                <w:sz w:val="18"/>
                <w:szCs w:val="18"/>
              </w:rPr>
              <w:t>4</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C8054E5" w14:textId="77777777" w:rsidR="008054D8" w:rsidRDefault="00A8527C">
            <w:r>
              <w:rPr>
                <w:color w:val="000000"/>
                <w:sz w:val="18"/>
                <w:szCs w:val="18"/>
              </w:rPr>
              <w:t>Present key elements of study design early in the paper.</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245B95E" w14:textId="77777777" w:rsidR="008054D8" w:rsidRDefault="00A8527C">
            <w:pPr>
              <w:jc w:val="center"/>
            </w:pPr>
            <w:r>
              <w:rPr>
                <w:color w:val="000000"/>
                <w:sz w:val="18"/>
                <w:szCs w:val="18"/>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77E545BA"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1B0F711" w14:textId="77777777" w:rsidR="008054D8" w:rsidRDefault="00A8527C">
            <w:r>
              <w:rPr>
                <w:color w:val="000000"/>
                <w:sz w:val="18"/>
                <w:szCs w:val="18"/>
              </w:rPr>
              <w:t>The Study design and setting subsection opens with KBTH as the institutional context: “Korle Bu Teaching Hospital (KBTH) is Ghana’s largest hospital, with 2,000 beds and a national and sub-regional referral catchment.” The prospective observational cohort design and study period (February to December 2019) are stated in the same subsection. STROBE reporting is declared and the completed checklist provided as Additional file 1.</w:t>
            </w:r>
          </w:p>
        </w:tc>
      </w:tr>
      <w:tr w:rsidR="008054D8" w14:paraId="4A3C3415"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C5B6506" w14:textId="77777777" w:rsidR="008054D8" w:rsidRDefault="00A8527C">
            <w:pPr>
              <w:jc w:val="center"/>
            </w:pPr>
            <w:r>
              <w:rPr>
                <w:b/>
                <w:bCs/>
                <w:color w:val="000000"/>
                <w:sz w:val="18"/>
                <w:szCs w:val="18"/>
              </w:rPr>
              <w:t>5</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93F5A8A" w14:textId="77777777" w:rsidR="008054D8" w:rsidRDefault="00A8527C">
            <w:r>
              <w:rPr>
                <w:color w:val="000000"/>
                <w:sz w:val="18"/>
                <w:szCs w:val="18"/>
              </w:rPr>
              <w:t>Describe the setting, locations, and relevant dates, including periods of recruitment, exposure, follow-up, and data collection.</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E81454A" w14:textId="77777777" w:rsidR="008054D8" w:rsidRDefault="00A8527C">
            <w:pPr>
              <w:jc w:val="center"/>
            </w:pPr>
            <w:r>
              <w:rPr>
                <w:color w:val="000000"/>
                <w:sz w:val="18"/>
                <w:szCs w:val="18"/>
              </w:rPr>
              <w:t>5–6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04BE399"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A675BDE" w14:textId="6D589073" w:rsidR="008054D8" w:rsidRDefault="00A8527C">
            <w:r>
              <w:rPr>
                <w:color w:val="000000"/>
                <w:sz w:val="18"/>
                <w:szCs w:val="18"/>
              </w:rPr>
              <w:t>PEU, Department of Child Health, KBTH, Accra, Ghana. Recruitment: February to December 2019. The PEU is a 30-bed unit providing 24-hour emergency paediatric care, with an annual outpatient attendance of approximately 30,000 and approximately 6,000 admissions (Biostatistics Unit, DCH, KBTH, unpublished institutional data, 20</w:t>
            </w:r>
            <w:r w:rsidR="00F53F06">
              <w:rPr>
                <w:color w:val="000000"/>
                <w:sz w:val="18"/>
                <w:szCs w:val="18"/>
              </w:rPr>
              <w:t>19</w:t>
            </w:r>
            <w:r>
              <w:rPr>
                <w:color w:val="000000"/>
                <w:sz w:val="18"/>
                <w:szCs w:val="18"/>
              </w:rPr>
              <w:t>). Unit staffed by six to seven professional nurses per shift. KBTH is Ghana’s largest hospital and primary national referral centre. Critical care infrastructure at KBTH during the study period described in a dedicated subsection.</w:t>
            </w:r>
          </w:p>
        </w:tc>
      </w:tr>
      <w:tr w:rsidR="008054D8" w14:paraId="1C2D137B"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2A6DAB5" w14:textId="77777777" w:rsidR="008054D8" w:rsidRDefault="00A8527C">
            <w:pPr>
              <w:jc w:val="center"/>
            </w:pPr>
            <w:r>
              <w:rPr>
                <w:b/>
                <w:bCs/>
                <w:color w:val="000000"/>
                <w:sz w:val="18"/>
                <w:szCs w:val="18"/>
              </w:rPr>
              <w:t>6(a)</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620F365" w14:textId="77777777" w:rsidR="008054D8" w:rsidRDefault="00A8527C">
            <w:r>
              <w:rPr>
                <w:color w:val="000000"/>
                <w:sz w:val="18"/>
                <w:szCs w:val="18"/>
              </w:rPr>
              <w:t>Give the eligibility criteria, and the sources and methods of selection of participants. Describe methods of follow-up.</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92658E3" w14:textId="77777777" w:rsidR="008054D8" w:rsidRDefault="00A8527C">
            <w:pPr>
              <w:jc w:val="center"/>
            </w:pPr>
            <w:r>
              <w:rPr>
                <w:color w:val="000000"/>
                <w:sz w:val="18"/>
                <w:szCs w:val="18"/>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F2CDC39"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70955CA" w14:textId="492A7D0B" w:rsidR="008054D8" w:rsidRDefault="00A8527C">
            <w:r>
              <w:rPr>
                <w:color w:val="000000"/>
                <w:sz w:val="18"/>
                <w:szCs w:val="18"/>
              </w:rPr>
              <w:t>Inclusion: children aged one month to 12 years presenting under any ETAT triage category (emergency, priority, or queue); written informed caregiver consent. Lower age limit: Brighton and Bedside PEWS not validated for the neonatal period. Upper age limit: the PEU did not admit children over 12 years as inpatients during the study period. Exclusions: immediate cardiopulmonary resuscitation on arrival; death before consent could be obtained; incomplete clinical parameters preventing PEWS calculation (</w:t>
            </w:r>
            <w:r w:rsidR="006415F8">
              <w:rPr>
                <w:color w:val="000000"/>
                <w:sz w:val="18"/>
                <w:szCs w:val="18"/>
              </w:rPr>
              <w:t>recruited</w:t>
            </w:r>
            <w:r>
              <w:rPr>
                <w:color w:val="000000"/>
                <w:sz w:val="18"/>
                <w:szCs w:val="18"/>
              </w:rPr>
              <w:t xml:space="preserve"> but excluded from analysis cohort). </w:t>
            </w:r>
            <w:r w:rsidR="003F2C1A">
              <w:rPr>
                <w:color w:val="000000"/>
                <w:sz w:val="18"/>
                <w:szCs w:val="18"/>
              </w:rPr>
              <w:t>Recruitment</w:t>
            </w:r>
            <w:r>
              <w:rPr>
                <w:color w:val="000000"/>
                <w:sz w:val="18"/>
                <w:szCs w:val="18"/>
              </w:rPr>
              <w:t xml:space="preserve"> was consecutive. All 675 recruited children were followed to discharge, death, or transfer; there were no losses to follow-up.</w:t>
            </w:r>
          </w:p>
        </w:tc>
      </w:tr>
      <w:tr w:rsidR="008054D8" w14:paraId="15D84583"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8511B25" w14:textId="77777777" w:rsidR="008054D8" w:rsidRDefault="00A8527C">
            <w:pPr>
              <w:jc w:val="center"/>
            </w:pPr>
            <w:r>
              <w:rPr>
                <w:b/>
                <w:bCs/>
                <w:color w:val="000000"/>
                <w:sz w:val="18"/>
                <w:szCs w:val="18"/>
              </w:rPr>
              <w:t>6(b)</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A8B1C88" w14:textId="77777777" w:rsidR="008054D8" w:rsidRDefault="00A8527C">
            <w:r>
              <w:rPr>
                <w:color w:val="000000"/>
                <w:sz w:val="18"/>
                <w:szCs w:val="18"/>
              </w:rPr>
              <w:t>For matched studies, give matching criteria and number of exposed and unexposed.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5D248D3" w14:textId="77777777" w:rsidR="008054D8" w:rsidRDefault="00A8527C">
            <w:pPr>
              <w:jc w:val="center"/>
            </w:pPr>
            <w:r>
              <w:rPr>
                <w:color w:val="000000"/>
                <w:sz w:val="18"/>
                <w:szCs w:val="18"/>
              </w:rPr>
              <w:t>N/A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F40A210" w14:textId="77777777" w:rsidR="008054D8" w:rsidRDefault="00A8527C">
            <w:pPr>
              <w:jc w:val="center"/>
            </w:pPr>
            <w:r>
              <w:rPr>
                <w:i/>
                <w:iCs/>
                <w:color w:val="000000"/>
                <w:sz w:val="18"/>
                <w:szCs w:val="18"/>
              </w:rPr>
              <w:t>N/A</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D9630BB" w14:textId="77777777" w:rsidR="008054D8" w:rsidRDefault="00A8527C">
            <w:r>
              <w:rPr>
                <w:color w:val="000000"/>
                <w:sz w:val="18"/>
                <w:szCs w:val="18"/>
              </w:rPr>
              <w:t>Not a matched study.</w:t>
            </w:r>
          </w:p>
        </w:tc>
      </w:tr>
      <w:tr w:rsidR="008054D8" w14:paraId="6A86DD6B"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4EF6252" w14:textId="77777777" w:rsidR="008054D8" w:rsidRDefault="00A8527C">
            <w:pPr>
              <w:jc w:val="center"/>
            </w:pPr>
            <w:r>
              <w:rPr>
                <w:b/>
                <w:bCs/>
                <w:color w:val="000000"/>
                <w:sz w:val="18"/>
                <w:szCs w:val="18"/>
              </w:rPr>
              <w:t>7</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E9BB251" w14:textId="77777777" w:rsidR="008054D8" w:rsidRDefault="00A8527C">
            <w:r>
              <w:rPr>
                <w:color w:val="000000"/>
                <w:sz w:val="18"/>
                <w:szCs w:val="18"/>
              </w:rPr>
              <w:t>Clearly define all outcomes, exposures, predictors, potential confounders, and effect modifiers.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6148EB1" w14:textId="77777777" w:rsidR="008054D8" w:rsidRDefault="00A8527C">
            <w:pPr>
              <w:jc w:val="center"/>
            </w:pPr>
            <w:r>
              <w:rPr>
                <w:color w:val="000000"/>
                <w:sz w:val="18"/>
                <w:szCs w:val="18"/>
              </w:rPr>
              <w:t>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DB2D7CB"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10D6921" w14:textId="22788E58" w:rsidR="008054D8" w:rsidRDefault="00A8527C">
            <w:r>
              <w:rPr>
                <w:color w:val="000000"/>
                <w:sz w:val="18"/>
                <w:szCs w:val="18"/>
              </w:rPr>
              <w:t>PICU eligibility defined as meeting published thresholds: Brighton PEWS ≥</w:t>
            </w:r>
            <w:r w:rsidR="001C1D4A">
              <w:rPr>
                <w:color w:val="000000"/>
                <w:sz w:val="18"/>
                <w:szCs w:val="18"/>
              </w:rPr>
              <w:t xml:space="preserve"> </w:t>
            </w:r>
            <w:r>
              <w:rPr>
                <w:color w:val="000000"/>
                <w:sz w:val="18"/>
                <w:szCs w:val="18"/>
              </w:rPr>
              <w:t>4 or Bedside PEWS ≥</w:t>
            </w:r>
            <w:r w:rsidR="001C1D4A">
              <w:rPr>
                <w:color w:val="000000"/>
                <w:sz w:val="18"/>
                <w:szCs w:val="18"/>
              </w:rPr>
              <w:t xml:space="preserve"> </w:t>
            </w:r>
            <w:r>
              <w:rPr>
                <w:color w:val="000000"/>
                <w:sz w:val="18"/>
                <w:szCs w:val="18"/>
              </w:rPr>
              <w:t>7, assessed at arrival and at 6, 12, and 24 hours. ETAT triage category (emergency, priority, queue) and age group (infant &lt;</w:t>
            </w:r>
            <w:r w:rsidR="00726D02">
              <w:rPr>
                <w:color w:val="000000"/>
                <w:sz w:val="18"/>
                <w:szCs w:val="18"/>
              </w:rPr>
              <w:t xml:space="preserve"> </w:t>
            </w:r>
            <w:r>
              <w:rPr>
                <w:color w:val="000000"/>
                <w:sz w:val="18"/>
                <w:szCs w:val="18"/>
              </w:rPr>
              <w:t>1 year; toddler 1–2 years; pre-school 3–4 years; school-age 5–12 years) defined as primary covariates. Sex included as a covariate. Demand:capacity ratios are defined for both instruments: the number of eligible children at arrival divided by the number of available PICU beds at KBTH at study end (Brighton 157/4 = 39:1; Bedside 131/4 = 33:1).</w:t>
            </w:r>
          </w:p>
        </w:tc>
      </w:tr>
      <w:tr w:rsidR="008054D8" w14:paraId="3ED264F2"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2E9482F" w14:textId="77777777" w:rsidR="008054D8" w:rsidRDefault="00A8527C">
            <w:pPr>
              <w:jc w:val="center"/>
            </w:pPr>
            <w:r>
              <w:rPr>
                <w:b/>
                <w:bCs/>
                <w:color w:val="000000"/>
                <w:sz w:val="18"/>
                <w:szCs w:val="18"/>
              </w:rPr>
              <w:t>8</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A8305A5" w14:textId="77777777" w:rsidR="008054D8" w:rsidRDefault="00A8527C">
            <w:r>
              <w:rPr>
                <w:color w:val="000000"/>
                <w:sz w:val="18"/>
                <w:szCs w:val="18"/>
              </w:rPr>
              <w:t>For each variable of interest, give sources of data and details of methods of assessment (measurement). Describe comparability of assessment methods if there is more than one group.</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F7C6B39" w14:textId="77777777" w:rsidR="008054D8" w:rsidRDefault="00A8527C">
            <w:pPr>
              <w:jc w:val="center"/>
            </w:pPr>
            <w:r>
              <w:rPr>
                <w:color w:val="000000"/>
                <w:sz w:val="18"/>
                <w:szCs w:val="18"/>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32A5336"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9C6E880" w14:textId="77777777" w:rsidR="008054D8" w:rsidRDefault="00A8527C">
            <w:r>
              <w:rPr>
                <w:color w:val="000000"/>
                <w:sz w:val="18"/>
                <w:szCs w:val="18"/>
              </w:rPr>
              <w:t>Eight clinical research assistants (five physicians, three nurses) calculated scores at arrival (within one hour of registration) and at 6, 12, and 24 hours. Training: two standardised sessions before study commencement and one calibration session during the study period. Blood pressure measured using a single validated automated oscillometric device (Omron M2 Intellisense) to reduce inter-observer variation. Brighton PEWS range 0–13; Bedside PEWS range 0–26. Both instruments administered in the same 613-participant cohort to allow direct comparison.</w:t>
            </w:r>
          </w:p>
        </w:tc>
      </w:tr>
      <w:tr w:rsidR="008054D8" w14:paraId="7820FB37"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87767B7" w14:textId="77777777" w:rsidR="008054D8" w:rsidRDefault="00A8527C">
            <w:pPr>
              <w:jc w:val="center"/>
            </w:pPr>
            <w:r>
              <w:rPr>
                <w:b/>
                <w:bCs/>
                <w:color w:val="000000"/>
                <w:sz w:val="18"/>
                <w:szCs w:val="18"/>
              </w:rPr>
              <w:t>9</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7D29C1E" w14:textId="77777777" w:rsidR="008054D8" w:rsidRDefault="00A8527C">
            <w:r>
              <w:rPr>
                <w:color w:val="000000"/>
                <w:sz w:val="18"/>
                <w:szCs w:val="18"/>
              </w:rPr>
              <w:t>Describe any efforts to address potential sources of bias.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5BBED10" w14:textId="77777777" w:rsidR="008054D8" w:rsidRDefault="00A8527C">
            <w:pPr>
              <w:jc w:val="center"/>
            </w:pPr>
            <w:r>
              <w:rPr>
                <w:color w:val="000000"/>
                <w:sz w:val="18"/>
                <w:szCs w:val="18"/>
              </w:rPr>
              <w:t>7–8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5824134"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10C18D1" w14:textId="2FA951BC" w:rsidR="008054D8" w:rsidRDefault="00A8527C">
            <w:r>
              <w:rPr>
                <w:color w:val="000000"/>
                <w:sz w:val="18"/>
                <w:szCs w:val="18"/>
              </w:rPr>
              <w:t xml:space="preserve">Consecutive </w:t>
            </w:r>
            <w:r w:rsidR="00E9513F">
              <w:rPr>
                <w:color w:val="000000"/>
                <w:sz w:val="18"/>
                <w:szCs w:val="18"/>
              </w:rPr>
              <w:t>recruitment</w:t>
            </w:r>
            <w:r>
              <w:rPr>
                <w:color w:val="000000"/>
                <w:sz w:val="18"/>
                <w:szCs w:val="18"/>
              </w:rPr>
              <w:t xml:space="preserve"> minimised selection bias. Potential sources of bias acknowledged in the Statistical analysis subsection: selection bias from consent requirements and measurement bias from missing blood pressure recordings. Missing blood pressure (primary cause of exclusion) characterised by </w:t>
            </w:r>
            <w:r>
              <w:rPr>
                <w:color w:val="000000"/>
                <w:sz w:val="18"/>
                <w:szCs w:val="18"/>
              </w:rPr>
              <w:lastRenderedPageBreak/>
              <w:t>age group and ETAT category. Excluded participants (</w:t>
            </w:r>
            <w:r w:rsidRPr="00122B98">
              <w:rPr>
                <w:i/>
                <w:iCs/>
                <w:color w:val="000000"/>
                <w:sz w:val="18"/>
                <w:szCs w:val="18"/>
              </w:rPr>
              <w:t>n</w:t>
            </w:r>
            <w:r w:rsidR="00122B98">
              <w:rPr>
                <w:color w:val="000000"/>
                <w:sz w:val="18"/>
                <w:szCs w:val="18"/>
              </w:rPr>
              <w:t xml:space="preserve"> </w:t>
            </w:r>
            <w:r>
              <w:rPr>
                <w:color w:val="000000"/>
                <w:sz w:val="18"/>
                <w:szCs w:val="18"/>
              </w:rPr>
              <w:t>=</w:t>
            </w:r>
            <w:r w:rsidR="00122B98">
              <w:rPr>
                <w:color w:val="000000"/>
                <w:sz w:val="18"/>
                <w:szCs w:val="18"/>
              </w:rPr>
              <w:t xml:space="preserve"> </w:t>
            </w:r>
            <w:r>
              <w:rPr>
                <w:color w:val="000000"/>
                <w:sz w:val="18"/>
                <w:szCs w:val="18"/>
              </w:rPr>
              <w:t xml:space="preserve">62) differed significantly from the analysis cohort: infants comprised 74.2% of excluded versus 15.3% of included (chi-square = 118.9, df = 3, </w:t>
            </w:r>
            <w:r w:rsidRPr="00122B98">
              <w:rPr>
                <w:i/>
                <w:iCs/>
                <w:color w:val="000000"/>
                <w:sz w:val="18"/>
                <w:szCs w:val="18"/>
              </w:rPr>
              <w:t>p</w:t>
            </w:r>
            <w:r>
              <w:rPr>
                <w:color w:val="000000"/>
                <w:sz w:val="18"/>
                <w:szCs w:val="18"/>
              </w:rPr>
              <w:t xml:space="preserve"> &lt; 0.001); Emergency-triage children comprised 54.8% of excluded versus 28.4% of included (Fisher exact, </w:t>
            </w:r>
            <w:r w:rsidRPr="00FA0F71">
              <w:rPr>
                <w:i/>
                <w:iCs/>
                <w:color w:val="000000"/>
                <w:sz w:val="18"/>
                <w:szCs w:val="18"/>
              </w:rPr>
              <w:t>p</w:t>
            </w:r>
            <w:r>
              <w:rPr>
                <w:color w:val="000000"/>
                <w:sz w:val="18"/>
                <w:szCs w:val="18"/>
              </w:rPr>
              <w:t xml:space="preserve"> &lt; 0.001). Direction of bias identified: the excluded group was disproportionately likely to have met PEWS thresholds, making eligibility estimates conservative. This is stated explicitly in the Missing data subsection and repeated in </w:t>
            </w:r>
            <w:r w:rsidR="00FA0F71">
              <w:rPr>
                <w:color w:val="000000"/>
                <w:sz w:val="18"/>
                <w:szCs w:val="18"/>
              </w:rPr>
              <w:t>L</w:t>
            </w:r>
            <w:r>
              <w:rPr>
                <w:color w:val="000000"/>
                <w:sz w:val="18"/>
                <w:szCs w:val="18"/>
              </w:rPr>
              <w:t>imitations item five.</w:t>
            </w:r>
          </w:p>
        </w:tc>
      </w:tr>
      <w:tr w:rsidR="008054D8" w14:paraId="27EC4E1A"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4525F66" w14:textId="77777777" w:rsidR="008054D8" w:rsidRDefault="00A8527C">
            <w:pPr>
              <w:jc w:val="center"/>
            </w:pPr>
            <w:r>
              <w:rPr>
                <w:b/>
                <w:bCs/>
                <w:color w:val="000000"/>
                <w:sz w:val="18"/>
                <w:szCs w:val="18"/>
              </w:rPr>
              <w:lastRenderedPageBreak/>
              <w:t>10</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7228D9F" w14:textId="77777777" w:rsidR="008054D8" w:rsidRDefault="00A8527C">
            <w:r>
              <w:rPr>
                <w:color w:val="000000"/>
                <w:sz w:val="18"/>
                <w:szCs w:val="18"/>
              </w:rPr>
              <w:t>Explain how the study size was arrived at.</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39FBDC4" w14:textId="77777777" w:rsidR="008054D8" w:rsidRDefault="00A8527C">
            <w:pPr>
              <w:jc w:val="center"/>
            </w:pPr>
            <w:r>
              <w:rPr>
                <w:color w:val="000000"/>
                <w:sz w:val="18"/>
                <w:szCs w:val="18"/>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23FDA1A"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69EDF60" w14:textId="77777777" w:rsidR="008054D8" w:rsidRDefault="00A8527C">
            <w:r>
              <w:rPr>
                <w:color w:val="000000"/>
                <w:sz w:val="18"/>
                <w:szCs w:val="18"/>
              </w:rPr>
              <w:t>No sample size calculation was performed for this descriptive analysis; the sample was the number of children who could be recruited over the study period. Stated in the Statistical analysis subsection.</w:t>
            </w:r>
          </w:p>
        </w:tc>
      </w:tr>
      <w:tr w:rsidR="008054D8" w14:paraId="434D0EC6"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F7D0853" w14:textId="77777777" w:rsidR="008054D8" w:rsidRDefault="00A8527C">
            <w:pPr>
              <w:jc w:val="center"/>
            </w:pPr>
            <w:r>
              <w:rPr>
                <w:b/>
                <w:bCs/>
                <w:color w:val="000000"/>
                <w:sz w:val="18"/>
                <w:szCs w:val="18"/>
              </w:rPr>
              <w:t>11</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AB51990" w14:textId="77777777" w:rsidR="008054D8" w:rsidRDefault="00A8527C">
            <w:r>
              <w:rPr>
                <w:color w:val="000000"/>
                <w:sz w:val="18"/>
                <w:szCs w:val="18"/>
              </w:rPr>
              <w:t>Explain how quantitative variables were handled in the analyses. If applicable, describe which groupings were chosen and why.</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0A2991B" w14:textId="77777777" w:rsidR="008054D8" w:rsidRDefault="00A8527C">
            <w:pPr>
              <w:jc w:val="center"/>
            </w:pPr>
            <w:r>
              <w:rPr>
                <w:color w:val="000000"/>
                <w:sz w:val="18"/>
                <w:szCs w:val="18"/>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8D87AF3"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3F18375" w14:textId="78B461E9" w:rsidR="008054D8" w:rsidRDefault="00A8527C">
            <w:r>
              <w:rPr>
                <w:color w:val="000000"/>
                <w:sz w:val="18"/>
                <w:szCs w:val="18"/>
              </w:rPr>
              <w:t>Four age categories were used: infant (&lt;</w:t>
            </w:r>
            <w:r w:rsidR="00C23CFD">
              <w:rPr>
                <w:color w:val="000000"/>
                <w:sz w:val="18"/>
                <w:szCs w:val="18"/>
              </w:rPr>
              <w:t xml:space="preserve"> </w:t>
            </w:r>
            <w:r>
              <w:rPr>
                <w:color w:val="000000"/>
                <w:sz w:val="18"/>
                <w:szCs w:val="18"/>
              </w:rPr>
              <w:t>1 year), toddler (1–2 years), pre-school (3–4 years), and school-age (5–12 years). These are standard clinical developmental classifications; no formal rationale is stated in the manuscript beyond the category boundaries themselves. PEWS scores treated as dichotomous (meeting or not meeting the published threshold) for the primary analysis.</w:t>
            </w:r>
          </w:p>
        </w:tc>
      </w:tr>
      <w:tr w:rsidR="008054D8" w14:paraId="6668481B"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E3C91A6" w14:textId="77777777" w:rsidR="008054D8" w:rsidRDefault="00A8527C">
            <w:pPr>
              <w:jc w:val="center"/>
            </w:pPr>
            <w:r>
              <w:rPr>
                <w:b/>
                <w:bCs/>
                <w:color w:val="000000"/>
                <w:sz w:val="18"/>
                <w:szCs w:val="18"/>
              </w:rPr>
              <w:t>12(a)</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4AC97B2" w14:textId="77777777" w:rsidR="008054D8" w:rsidRDefault="00A8527C">
            <w:r>
              <w:rPr>
                <w:color w:val="000000"/>
                <w:sz w:val="18"/>
                <w:szCs w:val="18"/>
              </w:rPr>
              <w:t>Describe all statistical methods, including those used to control for confounding.</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C447463" w14:textId="77777777" w:rsidR="008054D8" w:rsidRDefault="00A8527C">
            <w:pPr>
              <w:jc w:val="center"/>
            </w:pPr>
            <w:r>
              <w:rPr>
                <w:color w:val="000000"/>
                <w:sz w:val="18"/>
                <w:szCs w:val="18"/>
              </w:rPr>
              <w:t>8–9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931C306"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513747A" w14:textId="1834A633" w:rsidR="008054D8" w:rsidRDefault="00A8527C">
            <w:r>
              <w:rPr>
                <w:color w:val="000000"/>
                <w:sz w:val="18"/>
                <w:szCs w:val="18"/>
              </w:rPr>
              <w:t>Primary analysis is descriptive. Proportions meeting each PEWS threshold at each time point reported as a proportion of participants with recorded scores at that time point (</w:t>
            </w:r>
            <w:r w:rsidRPr="00BC09EC">
              <w:rPr>
                <w:i/>
                <w:iCs/>
                <w:color w:val="000000"/>
                <w:sz w:val="18"/>
                <w:szCs w:val="18"/>
              </w:rPr>
              <w:t>n</w:t>
            </w:r>
            <w:r w:rsidR="00BC09EC">
              <w:rPr>
                <w:color w:val="000000"/>
                <w:sz w:val="18"/>
                <w:szCs w:val="18"/>
              </w:rPr>
              <w:t xml:space="preserve"> </w:t>
            </w:r>
            <w:r>
              <w:rPr>
                <w:color w:val="000000"/>
                <w:sz w:val="18"/>
                <w:szCs w:val="18"/>
              </w:rPr>
              <w:t>=</w:t>
            </w:r>
            <w:r w:rsidR="00BC09EC">
              <w:rPr>
                <w:color w:val="000000"/>
                <w:sz w:val="18"/>
                <w:szCs w:val="18"/>
              </w:rPr>
              <w:t xml:space="preserve"> </w:t>
            </w:r>
            <w:r>
              <w:rPr>
                <w:color w:val="000000"/>
                <w:sz w:val="18"/>
                <w:szCs w:val="18"/>
              </w:rPr>
              <w:t xml:space="preserve">613 at arrival; </w:t>
            </w:r>
            <w:r w:rsidRPr="00BC09EC">
              <w:rPr>
                <w:i/>
                <w:iCs/>
                <w:color w:val="000000"/>
                <w:sz w:val="18"/>
                <w:szCs w:val="18"/>
              </w:rPr>
              <w:t>n</w:t>
            </w:r>
            <w:r w:rsidR="00BC09EC">
              <w:rPr>
                <w:color w:val="000000"/>
                <w:sz w:val="18"/>
                <w:szCs w:val="18"/>
              </w:rPr>
              <w:t xml:space="preserve"> </w:t>
            </w:r>
            <w:r>
              <w:rPr>
                <w:color w:val="000000"/>
                <w:sz w:val="18"/>
                <w:szCs w:val="18"/>
              </w:rPr>
              <w:t>=</w:t>
            </w:r>
            <w:r w:rsidR="00BC09EC">
              <w:rPr>
                <w:color w:val="000000"/>
                <w:sz w:val="18"/>
                <w:szCs w:val="18"/>
              </w:rPr>
              <w:t xml:space="preserve"> </w:t>
            </w:r>
            <w:r>
              <w:rPr>
                <w:color w:val="000000"/>
                <w:sz w:val="18"/>
                <w:szCs w:val="18"/>
              </w:rPr>
              <w:t xml:space="preserve">513 at 6 hours; </w:t>
            </w:r>
            <w:r w:rsidRPr="005367C8">
              <w:rPr>
                <w:i/>
                <w:iCs/>
                <w:color w:val="000000"/>
                <w:sz w:val="18"/>
                <w:szCs w:val="18"/>
              </w:rPr>
              <w:t>n</w:t>
            </w:r>
            <w:r w:rsidR="005367C8">
              <w:rPr>
                <w:color w:val="000000"/>
                <w:sz w:val="18"/>
                <w:szCs w:val="18"/>
              </w:rPr>
              <w:t xml:space="preserve"> </w:t>
            </w:r>
            <w:r>
              <w:rPr>
                <w:color w:val="000000"/>
                <w:sz w:val="18"/>
                <w:szCs w:val="18"/>
              </w:rPr>
              <w:t>=</w:t>
            </w:r>
            <w:r w:rsidR="005367C8">
              <w:rPr>
                <w:color w:val="000000"/>
                <w:sz w:val="18"/>
                <w:szCs w:val="18"/>
              </w:rPr>
              <w:t xml:space="preserve"> </w:t>
            </w:r>
            <w:r>
              <w:rPr>
                <w:color w:val="000000"/>
                <w:sz w:val="18"/>
                <w:szCs w:val="18"/>
              </w:rPr>
              <w:t xml:space="preserve">455 at 12 hours; </w:t>
            </w:r>
            <w:r w:rsidRPr="00BC09EC">
              <w:rPr>
                <w:i/>
                <w:iCs/>
                <w:color w:val="000000"/>
                <w:sz w:val="18"/>
                <w:szCs w:val="18"/>
              </w:rPr>
              <w:t>n</w:t>
            </w:r>
            <w:r w:rsidR="00BC09EC">
              <w:rPr>
                <w:color w:val="000000"/>
                <w:sz w:val="18"/>
                <w:szCs w:val="18"/>
              </w:rPr>
              <w:t xml:space="preserve"> </w:t>
            </w:r>
            <w:r>
              <w:rPr>
                <w:color w:val="000000"/>
                <w:sz w:val="18"/>
                <w:szCs w:val="18"/>
              </w:rPr>
              <w:t>=</w:t>
            </w:r>
            <w:r w:rsidR="00BC09EC">
              <w:rPr>
                <w:color w:val="000000"/>
                <w:sz w:val="18"/>
                <w:szCs w:val="18"/>
              </w:rPr>
              <w:t xml:space="preserve"> </w:t>
            </w:r>
            <w:r>
              <w:rPr>
                <w:color w:val="000000"/>
                <w:sz w:val="18"/>
                <w:szCs w:val="18"/>
              </w:rPr>
              <w:t>265 at 24 hours). Associations of threshold attainment with ETAT category, age group, and sex assessed by chi-square or Fisher exact test as appropriate. Demand:capacity ratios calculated for both instruments as described. Complete case analysis; imputation not undertaken because the missing parameter (blood pressure) was absent for a specific known reason and is a mandatory scored component of the Bedside PEWS. Statistical analysis performed using IBM SPSS Statistics version 23.</w:t>
            </w:r>
          </w:p>
        </w:tc>
      </w:tr>
      <w:tr w:rsidR="008054D8" w14:paraId="046BB645"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9A32134" w14:textId="77777777" w:rsidR="008054D8" w:rsidRDefault="00A8527C">
            <w:pPr>
              <w:jc w:val="center"/>
            </w:pPr>
            <w:r>
              <w:rPr>
                <w:b/>
                <w:bCs/>
                <w:color w:val="000000"/>
                <w:sz w:val="18"/>
                <w:szCs w:val="18"/>
              </w:rPr>
              <w:t>12(b)</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23DA93A" w14:textId="77777777" w:rsidR="008054D8" w:rsidRDefault="00A8527C">
            <w:r>
              <w:rPr>
                <w:color w:val="000000"/>
                <w:sz w:val="18"/>
                <w:szCs w:val="18"/>
              </w:rPr>
              <w:t>Describe any methods used to examine subgroups and interactions.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291C7AC" w14:textId="77777777" w:rsidR="008054D8" w:rsidRDefault="00A8527C">
            <w:pPr>
              <w:jc w:val="center"/>
            </w:pPr>
            <w:r>
              <w:rPr>
                <w:color w:val="000000"/>
                <w:sz w:val="18"/>
                <w:szCs w:val="18"/>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DA5F4C5"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2ABD088" w14:textId="77777777" w:rsidR="008054D8" w:rsidRDefault="00A8527C">
            <w:r>
              <w:rPr>
                <w:color w:val="000000"/>
                <w:sz w:val="18"/>
                <w:szCs w:val="18"/>
              </w:rPr>
              <w:t>Stratified analyses by ETAT category (primary stratification), age group, and sex pre-specified and reported. Chi-square or Fisher exact tests used for all stratified analyses. No interaction testing (primary analysis is descriptive).</w:t>
            </w:r>
          </w:p>
        </w:tc>
      </w:tr>
      <w:tr w:rsidR="008054D8" w14:paraId="5C85F19D"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33C25C5" w14:textId="77777777" w:rsidR="008054D8" w:rsidRDefault="00A8527C">
            <w:pPr>
              <w:jc w:val="center"/>
            </w:pPr>
            <w:r>
              <w:rPr>
                <w:b/>
                <w:bCs/>
                <w:color w:val="000000"/>
                <w:sz w:val="18"/>
                <w:szCs w:val="18"/>
              </w:rPr>
              <w:t>12(c)</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581D2F4" w14:textId="77777777" w:rsidR="008054D8" w:rsidRDefault="00A8527C">
            <w:r>
              <w:rPr>
                <w:color w:val="000000"/>
                <w:sz w:val="18"/>
                <w:szCs w:val="18"/>
              </w:rPr>
              <w:t>Explain how missing data were addressed.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086B30F" w14:textId="77777777" w:rsidR="008054D8" w:rsidRDefault="00A8527C">
            <w:pPr>
              <w:jc w:val="center"/>
            </w:pPr>
            <w:r>
              <w:rPr>
                <w:color w:val="000000"/>
                <w:sz w:val="18"/>
                <w:szCs w:val="18"/>
              </w:rPr>
              <w:t>7–8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A9006D0"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2623488" w14:textId="584F5D8E" w:rsidR="008054D8" w:rsidRDefault="00A8527C">
            <w:r>
              <w:rPr>
                <w:color w:val="000000"/>
                <w:sz w:val="18"/>
                <w:szCs w:val="18"/>
              </w:rPr>
              <w:t xml:space="preserve">62/675 (9.2%) excluded from the PEWS analysis cohort for missing blood pressure recordings. Complete case analysis performed. Blood pressure was absent for a specific known reason (clinical measurement failure predominantly in infants); it is a mandatory scored component of the Bedside PEWS; imputation was not appropriate. The 62 excluded participants had complete hospital discharge records including ICU admission status. Three of the nine ICU admissions occurred in the excluded group (4.8% of excluded vs 1.0% of included); ICU admission data are therefore reported with </w:t>
            </w:r>
            <w:r w:rsidRPr="00C13597">
              <w:rPr>
                <w:i/>
                <w:iCs/>
                <w:color w:val="000000"/>
                <w:sz w:val="18"/>
                <w:szCs w:val="18"/>
              </w:rPr>
              <w:t>n</w:t>
            </w:r>
            <w:r w:rsidR="00C13597">
              <w:rPr>
                <w:color w:val="000000"/>
                <w:sz w:val="18"/>
                <w:szCs w:val="18"/>
              </w:rPr>
              <w:t xml:space="preserve"> </w:t>
            </w:r>
            <w:r>
              <w:rPr>
                <w:color w:val="000000"/>
                <w:sz w:val="18"/>
                <w:szCs w:val="18"/>
              </w:rPr>
              <w:t>=</w:t>
            </w:r>
            <w:r w:rsidR="00C13597">
              <w:rPr>
                <w:color w:val="000000"/>
                <w:sz w:val="18"/>
                <w:szCs w:val="18"/>
              </w:rPr>
              <w:t xml:space="preserve"> </w:t>
            </w:r>
            <w:r>
              <w:rPr>
                <w:color w:val="000000"/>
                <w:sz w:val="18"/>
                <w:szCs w:val="18"/>
              </w:rPr>
              <w:t>675 as the denominator to capture all known admissions.</w:t>
            </w:r>
          </w:p>
        </w:tc>
      </w:tr>
      <w:tr w:rsidR="008054D8" w14:paraId="51AD2755"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992F452" w14:textId="77777777" w:rsidR="008054D8" w:rsidRDefault="00A8527C">
            <w:pPr>
              <w:jc w:val="center"/>
            </w:pPr>
            <w:r>
              <w:rPr>
                <w:b/>
                <w:bCs/>
                <w:color w:val="000000"/>
                <w:sz w:val="18"/>
                <w:szCs w:val="18"/>
              </w:rPr>
              <w:t>12(d)</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5B3B0ED" w14:textId="77777777" w:rsidR="008054D8" w:rsidRDefault="00A8527C">
            <w:r>
              <w:rPr>
                <w:color w:val="000000"/>
                <w:sz w:val="18"/>
                <w:szCs w:val="18"/>
              </w:rPr>
              <w:t>If applicable, explain how loss to follow-up was addressed.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9974458" w14:textId="77777777" w:rsidR="008054D8" w:rsidRDefault="00A8527C">
            <w:pPr>
              <w:jc w:val="center"/>
            </w:pPr>
            <w:r>
              <w:rPr>
                <w:color w:val="000000"/>
                <w:sz w:val="18"/>
                <w:szCs w:val="18"/>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B25D26A"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505FC4F" w14:textId="77777777" w:rsidR="008054D8" w:rsidRDefault="00A8527C">
            <w:r>
              <w:rPr>
                <w:color w:val="000000"/>
                <w:sz w:val="18"/>
                <w:szCs w:val="18"/>
              </w:rPr>
              <w:t>No participants were lost to follow-up. The revised Missing data subsection states: “All 675 recruited children were followed to discharge, death, or transfer; there were no losses to follow-up.”</w:t>
            </w:r>
          </w:p>
        </w:tc>
      </w:tr>
      <w:tr w:rsidR="008054D8" w14:paraId="494E063B"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ACAD067" w14:textId="77777777" w:rsidR="008054D8" w:rsidRDefault="00A8527C">
            <w:pPr>
              <w:jc w:val="center"/>
            </w:pPr>
            <w:r>
              <w:rPr>
                <w:b/>
                <w:bCs/>
                <w:color w:val="000000"/>
                <w:sz w:val="18"/>
                <w:szCs w:val="18"/>
              </w:rPr>
              <w:t>12(e)</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1A9E82B" w14:textId="77777777" w:rsidR="008054D8" w:rsidRDefault="00A8527C">
            <w:r>
              <w:rPr>
                <w:color w:val="000000"/>
                <w:sz w:val="18"/>
                <w:szCs w:val="18"/>
              </w:rPr>
              <w:t>Describe any sensitivity analyses.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E3C910F" w14:textId="77777777" w:rsidR="008054D8" w:rsidRDefault="00A8527C">
            <w:pPr>
              <w:jc w:val="center"/>
            </w:pPr>
            <w:r>
              <w:rPr>
                <w:color w:val="000000"/>
                <w:sz w:val="18"/>
                <w:szCs w:val="18"/>
              </w:rPr>
              <w:t>N/A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7495EBAD" w14:textId="77777777" w:rsidR="008054D8" w:rsidRDefault="00A8527C">
            <w:pPr>
              <w:jc w:val="center"/>
            </w:pPr>
            <w:r>
              <w:rPr>
                <w:i/>
                <w:iCs/>
                <w:color w:val="000000"/>
                <w:sz w:val="18"/>
                <w:szCs w:val="18"/>
              </w:rPr>
              <w:t>N/A</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67F362C" w14:textId="77777777" w:rsidR="008054D8" w:rsidRDefault="00A8527C">
            <w:r>
              <w:rPr>
                <w:color w:val="000000"/>
                <w:sz w:val="18"/>
                <w:szCs w:val="18"/>
              </w:rPr>
              <w:t>No formal sensitivity analyses were pre-specified for this descriptive study. Parallel reporting of Brighton and Bedside PEWS eligibility estimates at identical time points in the same cohort provides an implicit cross-instrument check of the principal findings.</w:t>
            </w:r>
          </w:p>
        </w:tc>
      </w:tr>
      <w:tr w:rsidR="008054D8" w14:paraId="5005CE89" w14:textId="77777777">
        <w:tc>
          <w:tcPr>
            <w:tcW w:w="0" w:type="auto"/>
            <w:gridSpan w:val="5"/>
            <w:tcBorders>
              <w:top w:val="single" w:sz="12" w:space="0" w:color="000000"/>
              <w:left w:val="single" w:sz="4" w:space="0" w:color="000000"/>
              <w:bottom w:val="single" w:sz="12" w:space="0" w:color="000000"/>
              <w:right w:val="single" w:sz="4" w:space="0" w:color="000000"/>
            </w:tcBorders>
            <w:shd w:val="clear" w:color="auto" w:fill="595959"/>
            <w:tcMar>
              <w:top w:w="60" w:type="dxa"/>
              <w:left w:w="120" w:type="dxa"/>
              <w:bottom w:w="60" w:type="dxa"/>
              <w:right w:w="120" w:type="dxa"/>
            </w:tcMar>
          </w:tcPr>
          <w:p w14:paraId="5151F3E1" w14:textId="77777777" w:rsidR="008054D8" w:rsidRDefault="00A8527C">
            <w:r>
              <w:rPr>
                <w:b/>
                <w:bCs/>
                <w:color w:val="FFFFFF"/>
                <w:sz w:val="18"/>
                <w:szCs w:val="18"/>
              </w:rPr>
              <w:t>RESULTS</w:t>
            </w:r>
          </w:p>
        </w:tc>
      </w:tr>
      <w:tr w:rsidR="008054D8" w14:paraId="4464DA00"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9D148C5" w14:textId="77777777" w:rsidR="008054D8" w:rsidRDefault="00A8527C">
            <w:pPr>
              <w:jc w:val="center"/>
            </w:pPr>
            <w:r>
              <w:rPr>
                <w:b/>
                <w:bCs/>
                <w:color w:val="000000"/>
                <w:sz w:val="18"/>
                <w:szCs w:val="18"/>
              </w:rPr>
              <w:t>13(a)</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CE16FBB" w14:textId="77777777" w:rsidR="008054D8" w:rsidRDefault="00A8527C">
            <w:r>
              <w:rPr>
                <w:color w:val="000000"/>
                <w:sz w:val="18"/>
                <w:szCs w:val="18"/>
              </w:rPr>
              <w:t>Report numbers of individuals at each stage of study.</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F881B52" w14:textId="77777777" w:rsidR="008054D8" w:rsidRDefault="00A8527C">
            <w:pPr>
              <w:jc w:val="center"/>
            </w:pPr>
            <w:r>
              <w:rPr>
                <w:color w:val="000000"/>
                <w:sz w:val="18"/>
                <w:szCs w:val="18"/>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38CF015"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0E3208F" w14:textId="688BC086" w:rsidR="008054D8" w:rsidRDefault="00A8527C">
            <w:r>
              <w:rPr>
                <w:color w:val="000000"/>
                <w:sz w:val="18"/>
                <w:szCs w:val="18"/>
              </w:rPr>
              <w:t xml:space="preserve">675 children recruited. 62 excluded (incomplete clinical parameters, predominantly missing blood pressure). 613 included in the PEWS analysis cohort. Assessment denominators: arrival </w:t>
            </w:r>
            <w:r w:rsidRPr="004B27B3">
              <w:rPr>
                <w:i/>
                <w:iCs/>
                <w:color w:val="000000"/>
                <w:sz w:val="18"/>
                <w:szCs w:val="18"/>
              </w:rPr>
              <w:t>n</w:t>
            </w:r>
            <w:r w:rsidR="004B27B3">
              <w:rPr>
                <w:color w:val="000000"/>
                <w:sz w:val="18"/>
                <w:szCs w:val="18"/>
              </w:rPr>
              <w:t xml:space="preserve"> </w:t>
            </w:r>
            <w:r>
              <w:rPr>
                <w:color w:val="000000"/>
                <w:sz w:val="18"/>
                <w:szCs w:val="18"/>
              </w:rPr>
              <w:t>=</w:t>
            </w:r>
            <w:r w:rsidR="004B27B3">
              <w:rPr>
                <w:color w:val="000000"/>
                <w:sz w:val="18"/>
                <w:szCs w:val="18"/>
              </w:rPr>
              <w:t xml:space="preserve"> </w:t>
            </w:r>
            <w:r>
              <w:rPr>
                <w:color w:val="000000"/>
                <w:sz w:val="18"/>
                <w:szCs w:val="18"/>
              </w:rPr>
              <w:t xml:space="preserve">613; 6 hours </w:t>
            </w:r>
            <w:r w:rsidRPr="004C5AE2">
              <w:rPr>
                <w:i/>
                <w:iCs/>
                <w:color w:val="000000"/>
                <w:sz w:val="18"/>
                <w:szCs w:val="18"/>
              </w:rPr>
              <w:t>n</w:t>
            </w:r>
            <w:r w:rsidR="004C5AE2">
              <w:rPr>
                <w:color w:val="000000"/>
                <w:sz w:val="18"/>
                <w:szCs w:val="18"/>
              </w:rPr>
              <w:t xml:space="preserve"> </w:t>
            </w:r>
            <w:r>
              <w:rPr>
                <w:color w:val="000000"/>
                <w:sz w:val="18"/>
                <w:szCs w:val="18"/>
              </w:rPr>
              <w:t>=</w:t>
            </w:r>
            <w:r w:rsidR="004C5AE2">
              <w:rPr>
                <w:color w:val="000000"/>
                <w:sz w:val="18"/>
                <w:szCs w:val="18"/>
              </w:rPr>
              <w:t xml:space="preserve"> </w:t>
            </w:r>
            <w:r>
              <w:rPr>
                <w:color w:val="000000"/>
                <w:sz w:val="18"/>
                <w:szCs w:val="18"/>
              </w:rPr>
              <w:t xml:space="preserve">513; 12 hours </w:t>
            </w:r>
            <w:r w:rsidRPr="004C5AE2">
              <w:rPr>
                <w:i/>
                <w:iCs/>
                <w:color w:val="000000"/>
                <w:sz w:val="18"/>
                <w:szCs w:val="18"/>
              </w:rPr>
              <w:t>n</w:t>
            </w:r>
            <w:r w:rsidR="004C5AE2">
              <w:rPr>
                <w:color w:val="000000"/>
                <w:sz w:val="18"/>
                <w:szCs w:val="18"/>
              </w:rPr>
              <w:t xml:space="preserve"> </w:t>
            </w:r>
            <w:r>
              <w:rPr>
                <w:color w:val="000000"/>
                <w:sz w:val="18"/>
                <w:szCs w:val="18"/>
              </w:rPr>
              <w:t>=</w:t>
            </w:r>
            <w:r w:rsidR="004C5AE2">
              <w:rPr>
                <w:color w:val="000000"/>
                <w:sz w:val="18"/>
                <w:szCs w:val="18"/>
              </w:rPr>
              <w:t xml:space="preserve"> </w:t>
            </w:r>
            <w:r>
              <w:rPr>
                <w:color w:val="000000"/>
                <w:sz w:val="18"/>
                <w:szCs w:val="18"/>
              </w:rPr>
              <w:t xml:space="preserve">455; 24 hours </w:t>
            </w:r>
            <w:r w:rsidRPr="00F33609">
              <w:rPr>
                <w:i/>
                <w:iCs/>
                <w:color w:val="000000"/>
                <w:sz w:val="18"/>
                <w:szCs w:val="18"/>
              </w:rPr>
              <w:t>n</w:t>
            </w:r>
            <w:r w:rsidR="00F33609">
              <w:rPr>
                <w:color w:val="000000"/>
                <w:sz w:val="18"/>
                <w:szCs w:val="18"/>
              </w:rPr>
              <w:t xml:space="preserve"> </w:t>
            </w:r>
            <w:r>
              <w:rPr>
                <w:color w:val="000000"/>
                <w:sz w:val="18"/>
                <w:szCs w:val="18"/>
              </w:rPr>
              <w:t>=</w:t>
            </w:r>
            <w:r w:rsidR="00F33609">
              <w:rPr>
                <w:color w:val="000000"/>
                <w:sz w:val="18"/>
                <w:szCs w:val="18"/>
              </w:rPr>
              <w:t xml:space="preserve"> </w:t>
            </w:r>
            <w:r>
              <w:rPr>
                <w:color w:val="000000"/>
                <w:sz w:val="18"/>
                <w:szCs w:val="18"/>
              </w:rPr>
              <w:t xml:space="preserve">265. Reduction in denominators at later time points attributed to discharge, transfer, death, and incomplete repeated assessments. All 675 recruited children have complete discharge outcome data; ICU admission reported for </w:t>
            </w:r>
            <w:r w:rsidRPr="00F33609">
              <w:rPr>
                <w:i/>
                <w:iCs/>
                <w:color w:val="000000"/>
                <w:sz w:val="18"/>
                <w:szCs w:val="18"/>
              </w:rPr>
              <w:t>n</w:t>
            </w:r>
            <w:r w:rsidR="00F33609">
              <w:rPr>
                <w:color w:val="000000"/>
                <w:sz w:val="18"/>
                <w:szCs w:val="18"/>
              </w:rPr>
              <w:t xml:space="preserve"> </w:t>
            </w:r>
            <w:r>
              <w:rPr>
                <w:color w:val="000000"/>
                <w:sz w:val="18"/>
                <w:szCs w:val="18"/>
              </w:rPr>
              <w:t>=</w:t>
            </w:r>
            <w:r w:rsidR="00F33609">
              <w:rPr>
                <w:color w:val="000000"/>
                <w:sz w:val="18"/>
                <w:szCs w:val="18"/>
              </w:rPr>
              <w:t xml:space="preserve"> </w:t>
            </w:r>
            <w:r>
              <w:rPr>
                <w:color w:val="000000"/>
                <w:sz w:val="18"/>
                <w:szCs w:val="18"/>
              </w:rPr>
              <w:t>675. Participant flow diagram provided as Additional file 2.</w:t>
            </w:r>
          </w:p>
        </w:tc>
      </w:tr>
      <w:tr w:rsidR="008054D8" w14:paraId="4655FEC1"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C0C19D9" w14:textId="77777777" w:rsidR="008054D8" w:rsidRDefault="00A8527C">
            <w:pPr>
              <w:jc w:val="center"/>
            </w:pPr>
            <w:r>
              <w:rPr>
                <w:b/>
                <w:bCs/>
                <w:color w:val="000000"/>
                <w:sz w:val="18"/>
                <w:szCs w:val="18"/>
              </w:rPr>
              <w:t>13(b)</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7489098" w14:textId="77777777" w:rsidR="008054D8" w:rsidRDefault="00A8527C">
            <w:r>
              <w:rPr>
                <w:color w:val="000000"/>
                <w:sz w:val="18"/>
                <w:szCs w:val="18"/>
              </w:rPr>
              <w:t>Give reasons for non-participation at each stage.</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5DFED50" w14:textId="77777777" w:rsidR="008054D8" w:rsidRDefault="00A8527C">
            <w:pPr>
              <w:jc w:val="center"/>
            </w:pPr>
            <w:r>
              <w:rPr>
                <w:color w:val="000000"/>
                <w:sz w:val="18"/>
                <w:szCs w:val="18"/>
              </w:rPr>
              <w:t>6, 9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A9FE497"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311361F" w14:textId="77777777" w:rsidR="008054D8" w:rsidRDefault="00A8527C">
            <w:r>
              <w:rPr>
                <w:color w:val="000000"/>
                <w:sz w:val="18"/>
                <w:szCs w:val="18"/>
              </w:rPr>
              <w:t>62/675 (9.2%) excluded from the PEWS analysis cohort due to missing clinical parameters preventing PEWS calculation, predominantly missing blood pressure recordings. Children requiring immediate cardiopulmonary resuscitation on arrival and those who died before caregiver consent could be obtained were not enrolled; reasons stated in the Participants subsection of Methods.</w:t>
            </w:r>
          </w:p>
        </w:tc>
      </w:tr>
      <w:tr w:rsidR="008054D8" w14:paraId="16C35775"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C1B147E" w14:textId="77777777" w:rsidR="008054D8" w:rsidRDefault="00A8527C">
            <w:pPr>
              <w:jc w:val="center"/>
            </w:pPr>
            <w:r>
              <w:rPr>
                <w:b/>
                <w:bCs/>
                <w:color w:val="000000"/>
                <w:sz w:val="18"/>
                <w:szCs w:val="18"/>
              </w:rPr>
              <w:t>13(c)</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5EE2992" w14:textId="77777777" w:rsidR="008054D8" w:rsidRDefault="00A8527C">
            <w:r>
              <w:rPr>
                <w:color w:val="000000"/>
                <w:sz w:val="18"/>
                <w:szCs w:val="18"/>
              </w:rPr>
              <w:t>Consider use of a flow diagram.</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CBDB35B" w14:textId="77777777" w:rsidR="008054D8" w:rsidRDefault="00A8527C">
            <w:pPr>
              <w:jc w:val="center"/>
            </w:pPr>
            <w:r>
              <w:rPr>
                <w:color w:val="000000"/>
                <w:sz w:val="18"/>
                <w:szCs w:val="18"/>
              </w:rPr>
              <w:t>Add. file 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496AACA"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322BD41" w14:textId="5D07FA2F" w:rsidR="008054D8" w:rsidRDefault="00A8527C">
            <w:r>
              <w:rPr>
                <w:color w:val="000000"/>
                <w:sz w:val="18"/>
                <w:szCs w:val="18"/>
              </w:rPr>
              <w:t xml:space="preserve">Participant flow diagram provided as Additional file 2. Diagram shows </w:t>
            </w:r>
            <w:r w:rsidRPr="00B9679C">
              <w:rPr>
                <w:i/>
                <w:iCs/>
                <w:color w:val="000000"/>
                <w:sz w:val="18"/>
                <w:szCs w:val="18"/>
              </w:rPr>
              <w:t>n</w:t>
            </w:r>
            <w:r w:rsidR="00B9679C">
              <w:rPr>
                <w:color w:val="000000"/>
                <w:sz w:val="18"/>
                <w:szCs w:val="18"/>
              </w:rPr>
              <w:t xml:space="preserve"> </w:t>
            </w:r>
            <w:r>
              <w:rPr>
                <w:color w:val="000000"/>
                <w:sz w:val="18"/>
                <w:szCs w:val="18"/>
              </w:rPr>
              <w:t>=</w:t>
            </w:r>
            <w:r w:rsidR="00B9679C">
              <w:rPr>
                <w:color w:val="000000"/>
                <w:sz w:val="18"/>
                <w:szCs w:val="18"/>
              </w:rPr>
              <w:t xml:space="preserve"> </w:t>
            </w:r>
            <w:r>
              <w:rPr>
                <w:color w:val="000000"/>
                <w:sz w:val="18"/>
                <w:szCs w:val="18"/>
              </w:rPr>
              <w:t xml:space="preserve">675 recruited, </w:t>
            </w:r>
            <w:r w:rsidRPr="00B9679C">
              <w:rPr>
                <w:i/>
                <w:iCs/>
                <w:color w:val="000000"/>
                <w:sz w:val="18"/>
                <w:szCs w:val="18"/>
              </w:rPr>
              <w:t>n</w:t>
            </w:r>
            <w:r w:rsidR="00B9679C">
              <w:rPr>
                <w:color w:val="000000"/>
                <w:sz w:val="18"/>
                <w:szCs w:val="18"/>
              </w:rPr>
              <w:t xml:space="preserve"> </w:t>
            </w:r>
            <w:r>
              <w:rPr>
                <w:color w:val="000000"/>
                <w:sz w:val="18"/>
                <w:szCs w:val="18"/>
              </w:rPr>
              <w:t>=</w:t>
            </w:r>
            <w:r w:rsidR="00B9679C">
              <w:rPr>
                <w:color w:val="000000"/>
                <w:sz w:val="18"/>
                <w:szCs w:val="18"/>
              </w:rPr>
              <w:t xml:space="preserve"> </w:t>
            </w:r>
            <w:r>
              <w:rPr>
                <w:color w:val="000000"/>
                <w:sz w:val="18"/>
                <w:szCs w:val="18"/>
              </w:rPr>
              <w:t xml:space="preserve">62 excluded, </w:t>
            </w:r>
            <w:r w:rsidRPr="00AB357C">
              <w:rPr>
                <w:i/>
                <w:iCs/>
                <w:color w:val="000000"/>
                <w:sz w:val="18"/>
                <w:szCs w:val="18"/>
              </w:rPr>
              <w:t>n</w:t>
            </w:r>
            <w:r w:rsidR="00AB357C">
              <w:rPr>
                <w:color w:val="000000"/>
                <w:sz w:val="18"/>
                <w:szCs w:val="18"/>
              </w:rPr>
              <w:t xml:space="preserve"> </w:t>
            </w:r>
            <w:r>
              <w:rPr>
                <w:color w:val="000000"/>
                <w:sz w:val="18"/>
                <w:szCs w:val="18"/>
              </w:rPr>
              <w:t>=</w:t>
            </w:r>
            <w:r w:rsidR="00AB357C">
              <w:rPr>
                <w:color w:val="000000"/>
                <w:sz w:val="18"/>
                <w:szCs w:val="18"/>
              </w:rPr>
              <w:t xml:space="preserve"> </w:t>
            </w:r>
            <w:r>
              <w:rPr>
                <w:color w:val="000000"/>
                <w:sz w:val="18"/>
                <w:szCs w:val="18"/>
              </w:rPr>
              <w:t>613 analysed, with PEWS assessment denominators at 6, 12, and 24 hours, outcome categories at each time point, and total deaths by location.</w:t>
            </w:r>
          </w:p>
        </w:tc>
      </w:tr>
      <w:tr w:rsidR="008054D8" w14:paraId="0E7BF2B3"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EFEEC42" w14:textId="77777777" w:rsidR="008054D8" w:rsidRDefault="00A8527C">
            <w:pPr>
              <w:jc w:val="center"/>
            </w:pPr>
            <w:r>
              <w:rPr>
                <w:b/>
                <w:bCs/>
                <w:color w:val="000000"/>
                <w:sz w:val="18"/>
                <w:szCs w:val="18"/>
              </w:rPr>
              <w:t>14(a)</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4BA8820" w14:textId="77777777" w:rsidR="008054D8" w:rsidRDefault="00A8527C">
            <w:r>
              <w:rPr>
                <w:color w:val="000000"/>
                <w:sz w:val="18"/>
                <w:szCs w:val="18"/>
              </w:rPr>
              <w:t>Give characteristics of study participants (eg demographic, clinical, social) and information on exposures and potential confounders.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3051FE6" w14:textId="77777777" w:rsidR="008054D8" w:rsidRDefault="00A8527C">
            <w:pPr>
              <w:jc w:val="center"/>
            </w:pPr>
            <w:r>
              <w:rPr>
                <w:color w:val="000000"/>
                <w:sz w:val="18"/>
                <w:szCs w:val="18"/>
              </w:rPr>
              <w:t>9, Table 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6A58029"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6329B47" w14:textId="6202A705" w:rsidR="008054D8" w:rsidRDefault="00A8527C">
            <w:r>
              <w:rPr>
                <w:color w:val="000000"/>
                <w:sz w:val="18"/>
                <w:szCs w:val="18"/>
              </w:rPr>
              <w:t xml:space="preserve">Table 1 provides sex, age group, ETAT category, referral status, and all outcomes for the 613-participant analysis cohort. ICU admission data are shown for </w:t>
            </w:r>
            <w:r w:rsidRPr="00AB357C">
              <w:rPr>
                <w:i/>
                <w:iCs/>
                <w:color w:val="000000"/>
                <w:sz w:val="18"/>
                <w:szCs w:val="18"/>
              </w:rPr>
              <w:t>n</w:t>
            </w:r>
            <w:r w:rsidR="00AB357C">
              <w:rPr>
                <w:color w:val="000000"/>
                <w:sz w:val="18"/>
                <w:szCs w:val="18"/>
              </w:rPr>
              <w:t xml:space="preserve"> </w:t>
            </w:r>
            <w:r>
              <w:rPr>
                <w:color w:val="000000"/>
                <w:sz w:val="18"/>
                <w:szCs w:val="18"/>
              </w:rPr>
              <w:t>=</w:t>
            </w:r>
            <w:r w:rsidR="00AB357C">
              <w:rPr>
                <w:color w:val="000000"/>
                <w:sz w:val="18"/>
                <w:szCs w:val="18"/>
              </w:rPr>
              <w:t xml:space="preserve"> </w:t>
            </w:r>
            <w:r>
              <w:rPr>
                <w:color w:val="000000"/>
                <w:sz w:val="18"/>
                <w:szCs w:val="18"/>
              </w:rPr>
              <w:t>675 with a table footnote explaining the denominator difference. The excluded group (</w:t>
            </w:r>
            <w:r w:rsidRPr="00985A32">
              <w:rPr>
                <w:i/>
                <w:iCs/>
                <w:color w:val="000000"/>
                <w:sz w:val="18"/>
                <w:szCs w:val="18"/>
              </w:rPr>
              <w:t>n</w:t>
            </w:r>
            <w:r w:rsidR="00985A32">
              <w:rPr>
                <w:color w:val="000000"/>
                <w:sz w:val="18"/>
                <w:szCs w:val="18"/>
              </w:rPr>
              <w:t xml:space="preserve"> </w:t>
            </w:r>
            <w:r>
              <w:rPr>
                <w:color w:val="000000"/>
                <w:sz w:val="18"/>
                <w:szCs w:val="18"/>
              </w:rPr>
              <w:t>=</w:t>
            </w:r>
            <w:r w:rsidR="00985A32">
              <w:rPr>
                <w:color w:val="000000"/>
                <w:sz w:val="18"/>
                <w:szCs w:val="18"/>
              </w:rPr>
              <w:t xml:space="preserve"> </w:t>
            </w:r>
            <w:r>
              <w:rPr>
                <w:color w:val="000000"/>
                <w:sz w:val="18"/>
                <w:szCs w:val="18"/>
              </w:rPr>
              <w:t>62) is compared against the analysis cohort for age group and ETAT category distribution in both the Methods (Missing data subsection) and the Results (Participants subsection).</w:t>
            </w:r>
          </w:p>
        </w:tc>
      </w:tr>
      <w:tr w:rsidR="008054D8" w14:paraId="19EB3571"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41A72E7" w14:textId="77777777" w:rsidR="008054D8" w:rsidRDefault="00A8527C">
            <w:pPr>
              <w:jc w:val="center"/>
            </w:pPr>
            <w:r>
              <w:rPr>
                <w:b/>
                <w:bCs/>
                <w:color w:val="000000"/>
                <w:sz w:val="18"/>
                <w:szCs w:val="18"/>
              </w:rPr>
              <w:t>14(b)</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5B6D266" w14:textId="77777777" w:rsidR="008054D8" w:rsidRDefault="00A8527C">
            <w:r>
              <w:rPr>
                <w:color w:val="000000"/>
                <w:sz w:val="18"/>
                <w:szCs w:val="18"/>
              </w:rPr>
              <w:t>Indicate number of participants with missing data for each variable of interest.</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1B25BAA" w14:textId="77777777" w:rsidR="008054D8" w:rsidRDefault="00A8527C">
            <w:pPr>
              <w:jc w:val="center"/>
            </w:pPr>
            <w:r>
              <w:rPr>
                <w:color w:val="000000"/>
                <w:sz w:val="18"/>
                <w:szCs w:val="18"/>
              </w:rPr>
              <w:t>7, 9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2733C9D"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9E8FAD3" w14:textId="77777777" w:rsidR="008054D8" w:rsidRDefault="00A8527C">
            <w:r>
              <w:rPr>
                <w:color w:val="000000"/>
                <w:sz w:val="18"/>
                <w:szCs w:val="18"/>
              </w:rPr>
              <w:t xml:space="preserve">62/675 (9.2%) excluded predominantly for missing blood pressure recordings. Comparative analysis: infants comprised 74.2% (46/62) of excluded versus 15.3% (94/613) of included (chi-square = 118.9, df = 3, </w:t>
            </w:r>
            <w:r w:rsidRPr="00BC536F">
              <w:rPr>
                <w:i/>
                <w:iCs/>
                <w:color w:val="000000"/>
                <w:sz w:val="18"/>
                <w:szCs w:val="18"/>
              </w:rPr>
              <w:t>p</w:t>
            </w:r>
            <w:r>
              <w:rPr>
                <w:color w:val="000000"/>
                <w:sz w:val="18"/>
                <w:szCs w:val="18"/>
              </w:rPr>
              <w:t xml:space="preserve"> &lt; 0.001); Emergency-triage children comprised 54.8% (34/62) versus 28.4% (174/613) (Fisher exact, </w:t>
            </w:r>
            <w:r w:rsidRPr="00BC536F">
              <w:rPr>
                <w:i/>
                <w:iCs/>
                <w:color w:val="000000"/>
                <w:sz w:val="18"/>
                <w:szCs w:val="18"/>
              </w:rPr>
              <w:t>p</w:t>
            </w:r>
            <w:r>
              <w:rPr>
                <w:color w:val="000000"/>
                <w:sz w:val="18"/>
                <w:szCs w:val="18"/>
              </w:rPr>
              <w:t xml:space="preserve"> &lt; 0.001). Blood pressure unobtainable in 100% of excluded infants. Acknowledged as Limitation 4.</w:t>
            </w:r>
          </w:p>
        </w:tc>
      </w:tr>
      <w:tr w:rsidR="008054D8" w14:paraId="37F14FA1"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F6DF0C9" w14:textId="77777777" w:rsidR="008054D8" w:rsidRDefault="00A8527C">
            <w:pPr>
              <w:jc w:val="center"/>
            </w:pPr>
            <w:r>
              <w:rPr>
                <w:b/>
                <w:bCs/>
                <w:color w:val="000000"/>
                <w:sz w:val="18"/>
                <w:szCs w:val="18"/>
              </w:rPr>
              <w:t>14(c)</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7BB4CD2" w14:textId="77777777" w:rsidR="008054D8" w:rsidRDefault="00A8527C">
            <w:r>
              <w:rPr>
                <w:color w:val="000000"/>
                <w:sz w:val="18"/>
                <w:szCs w:val="18"/>
              </w:rPr>
              <w:t>Cohort study — Summarise follow-up time.</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77F1398" w14:textId="77777777" w:rsidR="008054D8" w:rsidRDefault="00A8527C">
            <w:pPr>
              <w:jc w:val="center"/>
            </w:pPr>
            <w:r>
              <w:rPr>
                <w:color w:val="000000"/>
                <w:sz w:val="18"/>
                <w:szCs w:val="18"/>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11F7900"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F71B31E" w14:textId="77777777" w:rsidR="008054D8" w:rsidRDefault="00A8527C">
            <w:r>
              <w:rPr>
                <w:color w:val="000000"/>
                <w:sz w:val="18"/>
                <w:szCs w:val="18"/>
              </w:rPr>
              <w:t>Follow-up from registration to the endpoint of death, discharge, or transfer for all enrolled participants. PEWS assessments conducted at arrival, 6, 12, and 24 hours from registration. Follow-up extended to hospital discharge or death for admitted participants; no fixed maximum beyond the inpatient episode.</w:t>
            </w:r>
          </w:p>
        </w:tc>
      </w:tr>
      <w:tr w:rsidR="008054D8" w14:paraId="15DA8436"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F88AEA4" w14:textId="77777777" w:rsidR="008054D8" w:rsidRDefault="00A8527C">
            <w:pPr>
              <w:jc w:val="center"/>
            </w:pPr>
            <w:r>
              <w:rPr>
                <w:b/>
                <w:bCs/>
                <w:color w:val="000000"/>
                <w:sz w:val="18"/>
                <w:szCs w:val="18"/>
              </w:rPr>
              <w:lastRenderedPageBreak/>
              <w:t>15</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9A08EF5" w14:textId="77777777" w:rsidR="008054D8" w:rsidRDefault="00A8527C">
            <w:r>
              <w:rPr>
                <w:color w:val="000000"/>
                <w:sz w:val="18"/>
                <w:szCs w:val="18"/>
              </w:rPr>
              <w:t>Report numbers of outcome events or summary measures over time.</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F9954DA" w14:textId="77777777" w:rsidR="008054D8" w:rsidRDefault="00A8527C">
            <w:pPr>
              <w:jc w:val="center"/>
            </w:pPr>
            <w:r>
              <w:rPr>
                <w:color w:val="000000"/>
                <w:sz w:val="18"/>
                <w:szCs w:val="18"/>
              </w:rPr>
              <w:t>9–11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858EECF"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6CE5D34" w14:textId="77777777" w:rsidR="008054D8" w:rsidRDefault="00A8527C">
            <w:r>
              <w:rPr>
                <w:color w:val="000000"/>
                <w:sz w:val="18"/>
                <w:szCs w:val="18"/>
              </w:rPr>
              <w:t>Brighton PEWS eligibility: 25.6% (157/613) at arrival, 25.5% (131/513) at 6 hours, 18.9% (86/455) at 12 hours, 20.0% (53/265) at 24 hours. Bedside PEWS eligibility: 21.4% (131/613) at arrival, 17.0% (87/513) at 6 hours, 13.4% (61/455) at 12 hours, 12.1% (32/265) at 24 hours. ICU-level care: 9/675 (1.3%), all in adult ICUs at KBTH. Overall study mortality: 50/613 (8.2%). PEU inpatient mortality: 27/613 (4.4%). Deaths by location: 27 in PEU, 21 on paediatric ward, 2 in adult ICU (both after more than 48 hours of admission).</w:t>
            </w:r>
          </w:p>
        </w:tc>
      </w:tr>
      <w:tr w:rsidR="008054D8" w14:paraId="0ECEDA22"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B0EC9CE" w14:textId="77777777" w:rsidR="008054D8" w:rsidRDefault="00A8527C">
            <w:pPr>
              <w:jc w:val="center"/>
            </w:pPr>
            <w:r>
              <w:rPr>
                <w:b/>
                <w:bCs/>
                <w:color w:val="000000"/>
                <w:sz w:val="18"/>
                <w:szCs w:val="18"/>
              </w:rPr>
              <w:t>16(a)</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160DAE7" w14:textId="77777777" w:rsidR="008054D8" w:rsidRDefault="00A8527C">
            <w:r>
              <w:rPr>
                <w:color w:val="000000"/>
                <w:sz w:val="18"/>
                <w:szCs w:val="18"/>
              </w:rPr>
              <w:t>Give unadjusted estimates and, if applicable, confounder-adjusted estimates and their precision (eg 95% confidence interval). Make clear which confounders were adjusted for and why they were included.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BBA7527" w14:textId="77777777" w:rsidR="008054D8" w:rsidRDefault="00A8527C">
            <w:pPr>
              <w:jc w:val="center"/>
            </w:pPr>
            <w:r>
              <w:rPr>
                <w:color w:val="000000"/>
                <w:sz w:val="18"/>
                <w:szCs w:val="18"/>
              </w:rPr>
              <w:t>9–11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3B2D63F0"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75FBC7D" w14:textId="0820359E" w:rsidR="008054D8" w:rsidRDefault="00A8527C">
            <w:r>
              <w:rPr>
                <w:color w:val="000000"/>
                <w:sz w:val="18"/>
                <w:szCs w:val="18"/>
              </w:rPr>
              <w:t xml:space="preserve">Proportions reported with denominators and </w:t>
            </w:r>
            <w:r w:rsidRPr="00A05615">
              <w:rPr>
                <w:i/>
                <w:iCs/>
                <w:color w:val="000000"/>
                <w:sz w:val="18"/>
                <w:szCs w:val="18"/>
              </w:rPr>
              <w:t>p</w:t>
            </w:r>
            <w:r>
              <w:rPr>
                <w:color w:val="000000"/>
                <w:sz w:val="18"/>
                <w:szCs w:val="18"/>
              </w:rPr>
              <w:t>-values from chi-square or Fisher exact tests. Primary analysis is descriptive; adjusted estimates are not applicable to the study objective. Confidence intervals are not reported, consistent with a descriptive cohort design.</w:t>
            </w:r>
          </w:p>
        </w:tc>
      </w:tr>
      <w:tr w:rsidR="008054D8" w14:paraId="0E97B8D3"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0931236" w14:textId="77777777" w:rsidR="008054D8" w:rsidRDefault="00A8527C">
            <w:pPr>
              <w:jc w:val="center"/>
            </w:pPr>
            <w:r>
              <w:rPr>
                <w:b/>
                <w:bCs/>
                <w:color w:val="000000"/>
                <w:sz w:val="18"/>
                <w:szCs w:val="18"/>
              </w:rPr>
              <w:t>16(b)</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52E5C84" w14:textId="77777777" w:rsidR="008054D8" w:rsidRDefault="00A8527C">
            <w:r>
              <w:rPr>
                <w:color w:val="000000"/>
                <w:sz w:val="18"/>
                <w:szCs w:val="18"/>
              </w:rPr>
              <w:t>Report category boundaries when continuous variables were categorised.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E9FDE97" w14:textId="77777777" w:rsidR="008054D8" w:rsidRDefault="00A8527C">
            <w:pPr>
              <w:jc w:val="center"/>
            </w:pPr>
            <w:r>
              <w:rPr>
                <w:color w:val="000000"/>
                <w:sz w:val="18"/>
                <w:szCs w:val="18"/>
              </w:rPr>
              <w:t>6–7, 9–10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62B07E5"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BDAA924" w14:textId="3DA22A3E" w:rsidR="008054D8" w:rsidRDefault="00A8527C">
            <w:r>
              <w:rPr>
                <w:color w:val="000000"/>
                <w:sz w:val="18"/>
                <w:szCs w:val="18"/>
              </w:rPr>
              <w:t>PEWS eligibility thresholds stated: Brighton PEWS ≥</w:t>
            </w:r>
            <w:r w:rsidR="001008CD">
              <w:rPr>
                <w:color w:val="000000"/>
                <w:sz w:val="18"/>
                <w:szCs w:val="18"/>
              </w:rPr>
              <w:t xml:space="preserve"> </w:t>
            </w:r>
            <w:r>
              <w:rPr>
                <w:color w:val="000000"/>
                <w:sz w:val="18"/>
                <w:szCs w:val="18"/>
              </w:rPr>
              <w:t>4; Bedside PEWS ≥</w:t>
            </w:r>
            <w:r w:rsidR="001008CD">
              <w:rPr>
                <w:color w:val="000000"/>
                <w:sz w:val="18"/>
                <w:szCs w:val="18"/>
              </w:rPr>
              <w:t xml:space="preserve"> </w:t>
            </w:r>
            <w:r>
              <w:rPr>
                <w:color w:val="000000"/>
                <w:sz w:val="18"/>
                <w:szCs w:val="18"/>
              </w:rPr>
              <w:t>7. These are published validated thresholds for PICU consideration. Age group boundaries stated in the Statistical analysis subsection.</w:t>
            </w:r>
          </w:p>
        </w:tc>
      </w:tr>
      <w:tr w:rsidR="008054D8" w14:paraId="75EA8B81"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D9A3C1C" w14:textId="77777777" w:rsidR="008054D8" w:rsidRDefault="00A8527C">
            <w:pPr>
              <w:jc w:val="center"/>
            </w:pPr>
            <w:r>
              <w:rPr>
                <w:b/>
                <w:bCs/>
                <w:color w:val="000000"/>
                <w:sz w:val="18"/>
                <w:szCs w:val="18"/>
              </w:rPr>
              <w:t>16(c)</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100E69F" w14:textId="77777777" w:rsidR="008054D8" w:rsidRDefault="00A8527C">
            <w:r>
              <w:rPr>
                <w:color w:val="000000"/>
                <w:sz w:val="18"/>
                <w:szCs w:val="18"/>
              </w:rPr>
              <w:t>If relevant, consider translating estimates of relative risk into absolute risk for a meaningful time period.</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A9C43B2" w14:textId="77777777" w:rsidR="008054D8" w:rsidRDefault="00A8527C">
            <w:pPr>
              <w:jc w:val="center"/>
            </w:pPr>
            <w:r>
              <w:rPr>
                <w:color w:val="000000"/>
                <w:sz w:val="18"/>
                <w:szCs w:val="18"/>
              </w:rPr>
              <w:t>10–11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47DDC6A6"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21AB6FB" w14:textId="77777777" w:rsidR="008054D8" w:rsidRDefault="00A8527C">
            <w:r>
              <w:rPr>
                <w:color w:val="000000"/>
                <w:sz w:val="18"/>
                <w:szCs w:val="18"/>
              </w:rPr>
              <w:t>The demand:capacity ratios (Brighton 39:1 = 157 eligible ÷ 4 PICU beds; Bedside 33:1 = 131 eligible ÷ 4 PICU beds) translate proportional eligibility findings into absolute planning figures. The eligibility-to-ICU-access gap is described using proportions from their respective denominators: 25.6% (Brighton) and 21.4% (Bedside) of the 613-participant PEWS cohort met eligibility criteria at arrival; 1.3% (9/675) of the full recruited cohort received ICU-level care. Presenting proportions from their respective bases avoids a mixed-denominator ratio while preserving the clinical meaning of the gap.</w:t>
            </w:r>
          </w:p>
        </w:tc>
      </w:tr>
      <w:tr w:rsidR="008054D8" w14:paraId="7443F995"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1F6C947" w14:textId="77777777" w:rsidR="008054D8" w:rsidRDefault="00A8527C">
            <w:pPr>
              <w:jc w:val="center"/>
            </w:pPr>
            <w:r>
              <w:rPr>
                <w:b/>
                <w:bCs/>
                <w:color w:val="000000"/>
                <w:sz w:val="18"/>
                <w:szCs w:val="18"/>
              </w:rPr>
              <w:t>17</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394748C" w14:textId="77777777" w:rsidR="008054D8" w:rsidRDefault="00A8527C">
            <w:r>
              <w:rPr>
                <w:color w:val="000000"/>
                <w:sz w:val="18"/>
                <w:szCs w:val="18"/>
              </w:rPr>
              <w:t>Report other analyses done — eg analyses of subgroups and interactions, and sensitivity analyses.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147EAD6" w14:textId="77777777" w:rsidR="008054D8" w:rsidRDefault="00A8527C">
            <w:pPr>
              <w:jc w:val="center"/>
            </w:pPr>
            <w:r>
              <w:rPr>
                <w:color w:val="000000"/>
                <w:sz w:val="18"/>
                <w:szCs w:val="18"/>
              </w:rPr>
              <w:t>9–11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F08F4A0"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59D72A5" w14:textId="77777777" w:rsidR="008054D8" w:rsidRDefault="00A8527C">
            <w:r>
              <w:rPr>
                <w:color w:val="000000"/>
                <w:sz w:val="18"/>
                <w:szCs w:val="18"/>
              </w:rPr>
              <w:t>Stratified analyses by ETAT category, age group, and sex reported in full (Table 2 and Results text). Demand:capacity ratio calculated and reported as a planning estimate. No interaction testing (descriptive study design).</w:t>
            </w:r>
          </w:p>
        </w:tc>
      </w:tr>
      <w:tr w:rsidR="008054D8" w14:paraId="72644D2D" w14:textId="77777777">
        <w:tc>
          <w:tcPr>
            <w:tcW w:w="0" w:type="auto"/>
            <w:gridSpan w:val="5"/>
            <w:tcBorders>
              <w:top w:val="single" w:sz="12" w:space="0" w:color="000000"/>
              <w:left w:val="single" w:sz="4" w:space="0" w:color="000000"/>
              <w:bottom w:val="single" w:sz="12" w:space="0" w:color="000000"/>
              <w:right w:val="single" w:sz="4" w:space="0" w:color="000000"/>
            </w:tcBorders>
            <w:shd w:val="clear" w:color="auto" w:fill="595959"/>
            <w:tcMar>
              <w:top w:w="60" w:type="dxa"/>
              <w:left w:w="120" w:type="dxa"/>
              <w:bottom w:w="60" w:type="dxa"/>
              <w:right w:w="120" w:type="dxa"/>
            </w:tcMar>
          </w:tcPr>
          <w:p w14:paraId="6ECABA91" w14:textId="77777777" w:rsidR="008054D8" w:rsidRDefault="00A8527C">
            <w:r>
              <w:rPr>
                <w:b/>
                <w:bCs/>
                <w:color w:val="FFFFFF"/>
                <w:sz w:val="18"/>
                <w:szCs w:val="18"/>
              </w:rPr>
              <w:t>DISCUSSION</w:t>
            </w:r>
          </w:p>
        </w:tc>
      </w:tr>
      <w:tr w:rsidR="008054D8" w14:paraId="4E54751C"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CF1A4F9" w14:textId="77777777" w:rsidR="008054D8" w:rsidRDefault="00A8527C">
            <w:pPr>
              <w:jc w:val="center"/>
            </w:pPr>
            <w:r>
              <w:rPr>
                <w:b/>
                <w:bCs/>
                <w:color w:val="000000"/>
                <w:sz w:val="18"/>
                <w:szCs w:val="18"/>
              </w:rPr>
              <w:t>18</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D528E0B" w14:textId="77777777" w:rsidR="008054D8" w:rsidRDefault="00A8527C">
            <w:r>
              <w:rPr>
                <w:color w:val="000000"/>
                <w:sz w:val="18"/>
                <w:szCs w:val="18"/>
              </w:rPr>
              <w:t>Summarise key results with reference to study objectives.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53200E91" w14:textId="77777777" w:rsidR="008054D8" w:rsidRDefault="00A8527C">
            <w:pPr>
              <w:jc w:val="center"/>
            </w:pPr>
            <w:r>
              <w:rPr>
                <w:color w:val="000000"/>
                <w:sz w:val="18"/>
                <w:szCs w:val="18"/>
              </w:rPr>
              <w:t>11–12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0FDBB0F6"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A209080" w14:textId="77777777" w:rsidR="008054D8" w:rsidRDefault="00A8527C">
            <w:r>
              <w:rPr>
                <w:color w:val="000000"/>
                <w:sz w:val="18"/>
                <w:szCs w:val="18"/>
              </w:rPr>
              <w:t>Discussion opens with a summary of the principal findings: 25.6% Brighton PEWS eligibility and 21.4% Bedside eligibility at arrival; 60.9%/60.3% among ETAT Emergency-category children, derived from a consecutive cohort using two validated instruments. All three stated objectives are returned to across the Discussion subsections. The demand:capacity ratios (39:1 Brighton; 33:1 Bedside) and the eligibility-to-ICU-access proportions (25.6%/21.4% vs 1.3%) are referenced as the central quantified outputs in the demand:capacity and health systems implications subsections and the Conclusions.</w:t>
            </w:r>
          </w:p>
        </w:tc>
      </w:tr>
      <w:tr w:rsidR="008054D8" w14:paraId="7A8FD6F5"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91DA1B2" w14:textId="77777777" w:rsidR="008054D8" w:rsidRDefault="00A8527C">
            <w:pPr>
              <w:jc w:val="center"/>
            </w:pPr>
            <w:r>
              <w:rPr>
                <w:b/>
                <w:bCs/>
                <w:color w:val="000000"/>
                <w:sz w:val="18"/>
                <w:szCs w:val="18"/>
              </w:rPr>
              <w:t>19</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0D0DA12" w14:textId="77777777" w:rsidR="008054D8" w:rsidRDefault="00A8527C">
            <w:r>
              <w:rPr>
                <w:color w:val="000000"/>
                <w:sz w:val="18"/>
                <w:szCs w:val="18"/>
              </w:rPr>
              <w:t>Discuss limitations of the study, taking into account sources of potential bias or imprecision. Discuss both direction and magnitude of any potential bias.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74AA50E" w14:textId="77777777" w:rsidR="008054D8" w:rsidRDefault="00A8527C">
            <w:pPr>
              <w:jc w:val="center"/>
            </w:pPr>
            <w:r>
              <w:rPr>
                <w:color w:val="000000"/>
                <w:sz w:val="18"/>
                <w:szCs w:val="18"/>
              </w:rPr>
              <w:t>15–16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55AACC9F"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1478D4FE" w14:textId="3ED3B379" w:rsidR="008054D8" w:rsidRDefault="00A8527C">
            <w:r>
              <w:rPr>
                <w:color w:val="000000"/>
                <w:sz w:val="18"/>
                <w:szCs w:val="18"/>
              </w:rPr>
              <w:t>Five numbered limitations: (1) PEWS threshold attainment is a physiological proxy for PICU consideration eligibility and does not equate to clinician-adjudicated PICU requirement</w:t>
            </w:r>
            <w:r w:rsidR="00D75AE4">
              <w:rPr>
                <w:color w:val="000000"/>
                <w:sz w:val="18"/>
                <w:szCs w:val="18"/>
              </w:rPr>
              <w:t xml:space="preserve">; </w:t>
            </w:r>
            <w:r>
              <w:rPr>
                <w:color w:val="000000"/>
                <w:sz w:val="18"/>
                <w:szCs w:val="18"/>
              </w:rPr>
              <w:t>individual clinical judgement may result in fewer or more actual admissions; (2) single tertiary national referral centre</w:t>
            </w:r>
            <w:r w:rsidR="00D75AE4">
              <w:rPr>
                <w:color w:val="000000"/>
                <w:sz w:val="18"/>
                <w:szCs w:val="18"/>
              </w:rPr>
              <w:t xml:space="preserve">; </w:t>
            </w:r>
            <w:r>
              <w:rPr>
                <w:color w:val="000000"/>
                <w:sz w:val="18"/>
                <w:szCs w:val="18"/>
              </w:rPr>
              <w:t xml:space="preserve">eligibility proportions likely overestimate PICU eligibility at district or </w:t>
            </w:r>
            <w:r w:rsidR="00D75AE4">
              <w:rPr>
                <w:color w:val="000000"/>
                <w:sz w:val="18"/>
                <w:szCs w:val="18"/>
              </w:rPr>
              <w:t>regional</w:t>
            </w:r>
            <w:r>
              <w:rPr>
                <w:color w:val="000000"/>
                <w:sz w:val="18"/>
                <w:szCs w:val="18"/>
              </w:rPr>
              <w:t xml:space="preserve"> level; findings most applicable to tertiary referral LMIC urban settings; (3) demand:capacity ratios (39:1 Brighton; 33:1 Bedside) are descriptive planning estimates representing cumulative eligibility over ten months, not concurrent demand on any given day; (4) the 62 excluded participants differed significantly from the analysis cohort in age group distribution (chi-square = 118.9, df = 3, </w:t>
            </w:r>
            <w:r w:rsidRPr="00A209ED">
              <w:rPr>
                <w:i/>
                <w:iCs/>
                <w:color w:val="000000"/>
                <w:sz w:val="18"/>
                <w:szCs w:val="18"/>
              </w:rPr>
              <w:t>p</w:t>
            </w:r>
            <w:r>
              <w:rPr>
                <w:color w:val="000000"/>
                <w:sz w:val="18"/>
                <w:szCs w:val="18"/>
              </w:rPr>
              <w:t xml:space="preserve"> &lt; 0.001) and ETAT triage category (Fisher exact, </w:t>
            </w:r>
            <w:r w:rsidRPr="00481629">
              <w:rPr>
                <w:i/>
                <w:iCs/>
                <w:color w:val="000000"/>
                <w:sz w:val="18"/>
                <w:szCs w:val="18"/>
              </w:rPr>
              <w:t>p</w:t>
            </w:r>
            <w:r>
              <w:rPr>
                <w:color w:val="000000"/>
                <w:sz w:val="18"/>
                <w:szCs w:val="18"/>
              </w:rPr>
              <w:t xml:space="preserve"> &lt; 0.001)</w:t>
            </w:r>
            <w:r w:rsidR="00481629">
              <w:rPr>
                <w:color w:val="000000"/>
                <w:sz w:val="18"/>
                <w:szCs w:val="18"/>
              </w:rPr>
              <w:t>;</w:t>
            </w:r>
            <w:r>
              <w:rPr>
                <w:color w:val="000000"/>
                <w:sz w:val="18"/>
                <w:szCs w:val="18"/>
              </w:rPr>
              <w:t xml:space="preserve"> Bedside PEWS eligibility estimates are likely conservative; three of nine ICU admissions occurred in the excluded group (4.8% vs 1.0%), supporting the use of </w:t>
            </w:r>
            <w:r w:rsidRPr="00481629">
              <w:rPr>
                <w:i/>
                <w:iCs/>
                <w:color w:val="000000"/>
                <w:sz w:val="18"/>
                <w:szCs w:val="18"/>
              </w:rPr>
              <w:t>n</w:t>
            </w:r>
            <w:r w:rsidR="00481629">
              <w:rPr>
                <w:color w:val="000000"/>
                <w:sz w:val="18"/>
                <w:szCs w:val="18"/>
              </w:rPr>
              <w:t xml:space="preserve"> </w:t>
            </w:r>
            <w:r>
              <w:rPr>
                <w:color w:val="000000"/>
                <w:sz w:val="18"/>
                <w:szCs w:val="18"/>
              </w:rPr>
              <w:t>=</w:t>
            </w:r>
            <w:r w:rsidR="00481629">
              <w:rPr>
                <w:color w:val="000000"/>
                <w:sz w:val="18"/>
                <w:szCs w:val="18"/>
              </w:rPr>
              <w:t xml:space="preserve"> </w:t>
            </w:r>
            <w:r>
              <w:rPr>
                <w:color w:val="000000"/>
                <w:sz w:val="18"/>
                <w:szCs w:val="18"/>
              </w:rPr>
              <w:t>675 as the ICU denominator; (5) the PICU was commissioned in the final months of the study period</w:t>
            </w:r>
            <w:r w:rsidR="00325086">
              <w:rPr>
                <w:color w:val="000000"/>
                <w:sz w:val="18"/>
                <w:szCs w:val="18"/>
              </w:rPr>
              <w:t>;</w:t>
            </w:r>
            <w:r>
              <w:rPr>
                <w:color w:val="000000"/>
                <w:sz w:val="18"/>
                <w:szCs w:val="18"/>
              </w:rPr>
              <w:t xml:space="preserve"> its availability may have affected clinical practice during the final weeks of recruitment. Direction and magnitude of bias stated for all relevant items.</w:t>
            </w:r>
          </w:p>
        </w:tc>
      </w:tr>
      <w:tr w:rsidR="008054D8" w14:paraId="4E917AD0"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B36682A" w14:textId="77777777" w:rsidR="008054D8" w:rsidRDefault="00A8527C">
            <w:pPr>
              <w:jc w:val="center"/>
            </w:pPr>
            <w:r>
              <w:rPr>
                <w:b/>
                <w:bCs/>
                <w:color w:val="000000"/>
                <w:sz w:val="18"/>
                <w:szCs w:val="18"/>
              </w:rPr>
              <w:t>20</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1471A80" w14:textId="77777777" w:rsidR="008054D8" w:rsidRDefault="00A8527C">
            <w:r>
              <w:rPr>
                <w:color w:val="000000"/>
                <w:sz w:val="18"/>
                <w:szCs w:val="18"/>
              </w:rPr>
              <w:t>Give a cautious overall interpretation of results considering objectives, limitations, and multiplicity of analyses.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FD09B75" w14:textId="77777777" w:rsidR="008054D8" w:rsidRDefault="00A8527C">
            <w:pPr>
              <w:jc w:val="center"/>
            </w:pPr>
            <w:r>
              <w:rPr>
                <w:color w:val="000000"/>
                <w:sz w:val="18"/>
                <w:szCs w:val="18"/>
              </w:rPr>
              <w:t>11–14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10E8B432"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A5589BA" w14:textId="77777777" w:rsidR="008054D8" w:rsidRDefault="00A8527C">
            <w:r>
              <w:rPr>
                <w:color w:val="000000"/>
                <w:sz w:val="18"/>
                <w:szCs w:val="18"/>
              </w:rPr>
              <w:t>Causal inference avoided throughout all four Discussion subsections. The statement “PEWS threshold attainment does not equate to clinician-adjudicated PICU requirement” is stated in the PEWS calculation subsection of Methods, in the Discussion opening paragraph, and in Limitations item 1. The study is described consistently as descriptive. Discussion uses terms such as “consistent with the case for” and “would be needed to determine” rather than claiming clinical or policy effects.</w:t>
            </w:r>
          </w:p>
        </w:tc>
      </w:tr>
      <w:tr w:rsidR="008054D8" w14:paraId="5366A916"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3E215A06" w14:textId="77777777" w:rsidR="008054D8" w:rsidRDefault="00A8527C">
            <w:pPr>
              <w:jc w:val="center"/>
            </w:pPr>
            <w:r>
              <w:rPr>
                <w:b/>
                <w:bCs/>
                <w:color w:val="000000"/>
                <w:sz w:val="18"/>
                <w:szCs w:val="18"/>
              </w:rPr>
              <w:t>21</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20877791" w14:textId="77777777" w:rsidR="008054D8" w:rsidRDefault="00A8527C">
            <w:r>
              <w:rPr>
                <w:color w:val="000000"/>
                <w:sz w:val="18"/>
                <w:szCs w:val="18"/>
              </w:rPr>
              <w:t>Discuss the generalisability (external validity) of the study results.</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0802B1EC" w14:textId="77777777" w:rsidR="008054D8" w:rsidRDefault="00A8527C">
            <w:pPr>
              <w:jc w:val="center"/>
            </w:pPr>
            <w:r>
              <w:rPr>
                <w:color w:val="000000"/>
                <w:sz w:val="18"/>
                <w:szCs w:val="18"/>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6A705FB5"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4148CB3" w14:textId="4B3DD556" w:rsidR="008054D8" w:rsidRDefault="00A8527C">
            <w:r>
              <w:rPr>
                <w:color w:val="000000"/>
                <w:sz w:val="18"/>
                <w:szCs w:val="18"/>
              </w:rPr>
              <w:t xml:space="preserve">Stated in Limitations item 2: the study was conducted at a single tertiary national referral hospital; eligibility proportions reflect a high-acuity referral population and are likely to overestimate PICU eligibility at district or </w:t>
            </w:r>
            <w:r w:rsidR="00AC62C4">
              <w:rPr>
                <w:color w:val="000000"/>
                <w:sz w:val="18"/>
                <w:szCs w:val="18"/>
              </w:rPr>
              <w:t>regional hospital</w:t>
            </w:r>
            <w:r>
              <w:rPr>
                <w:color w:val="000000"/>
                <w:sz w:val="18"/>
                <w:szCs w:val="18"/>
              </w:rPr>
              <w:t xml:space="preserve"> level. Findings stated as most applicable to tertiary referral centres in comparable LMIC urban settings. Multi-site estimation called for in the Discussion health systems section.</w:t>
            </w:r>
          </w:p>
        </w:tc>
      </w:tr>
      <w:tr w:rsidR="008054D8" w14:paraId="324CA609" w14:textId="77777777">
        <w:tc>
          <w:tcPr>
            <w:tcW w:w="0" w:type="auto"/>
            <w:gridSpan w:val="5"/>
            <w:tcBorders>
              <w:top w:val="single" w:sz="12" w:space="0" w:color="000000"/>
              <w:left w:val="single" w:sz="4" w:space="0" w:color="000000"/>
              <w:bottom w:val="single" w:sz="12" w:space="0" w:color="000000"/>
              <w:right w:val="single" w:sz="4" w:space="0" w:color="000000"/>
            </w:tcBorders>
            <w:shd w:val="clear" w:color="auto" w:fill="595959"/>
            <w:tcMar>
              <w:top w:w="60" w:type="dxa"/>
              <w:left w:w="120" w:type="dxa"/>
              <w:bottom w:w="60" w:type="dxa"/>
              <w:right w:w="120" w:type="dxa"/>
            </w:tcMar>
          </w:tcPr>
          <w:p w14:paraId="247186C9" w14:textId="77777777" w:rsidR="008054D8" w:rsidRDefault="00A8527C">
            <w:r>
              <w:rPr>
                <w:b/>
                <w:bCs/>
                <w:color w:val="FFFFFF"/>
                <w:sz w:val="18"/>
                <w:szCs w:val="18"/>
              </w:rPr>
              <w:t>OTHER INFORMATION</w:t>
            </w:r>
          </w:p>
        </w:tc>
      </w:tr>
      <w:tr w:rsidR="008054D8" w14:paraId="01903BED" w14:textId="77777777">
        <w:tc>
          <w:tcPr>
            <w:tcW w:w="905"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418A7904" w14:textId="77777777" w:rsidR="008054D8" w:rsidRDefault="00A8527C">
            <w:pPr>
              <w:jc w:val="center"/>
            </w:pPr>
            <w:r>
              <w:rPr>
                <w:b/>
                <w:bCs/>
                <w:color w:val="000000"/>
                <w:sz w:val="18"/>
                <w:szCs w:val="18"/>
              </w:rPr>
              <w:t>22</w:t>
            </w:r>
          </w:p>
        </w:tc>
        <w:tc>
          <w:tcPr>
            <w:tcW w:w="4637"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78516ECF" w14:textId="77777777" w:rsidR="008054D8" w:rsidRDefault="00A8527C">
            <w:r>
              <w:rPr>
                <w:color w:val="000000"/>
                <w:sz w:val="18"/>
                <w:szCs w:val="18"/>
              </w:rPr>
              <w:t>Give the source of funding and the role of the funders in the study design, collection, analysis, and interpretation of the data, and in the writing of the report.</w:t>
            </w:r>
          </w:p>
        </w:tc>
        <w:tc>
          <w:tcPr>
            <w:tcW w:w="879"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714EBAA" w14:textId="77777777" w:rsidR="008054D8" w:rsidRDefault="00A8527C">
            <w:pPr>
              <w:jc w:val="center"/>
            </w:pPr>
            <w:r>
              <w:rPr>
                <w:color w:val="000000"/>
                <w:sz w:val="18"/>
                <w:szCs w:val="18"/>
              </w:rPr>
              <w:t>17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0" w:type="dxa"/>
              <w:left w:w="80" w:type="dxa"/>
              <w:bottom w:w="60" w:type="dxa"/>
              <w:right w:w="80" w:type="dxa"/>
            </w:tcMar>
          </w:tcPr>
          <w:p w14:paraId="28A1CB53" w14:textId="77777777" w:rsidR="008054D8" w:rsidRDefault="00A8527C">
            <w:pPr>
              <w:jc w:val="center"/>
            </w:pPr>
            <w:r>
              <w:rPr>
                <w:b/>
                <w:bCs/>
                <w:color w:val="000000"/>
                <w:sz w:val="18"/>
                <w:szCs w:val="18"/>
              </w:rPr>
              <w:t>PRESENT</w:t>
            </w:r>
          </w:p>
        </w:tc>
        <w:tc>
          <w:tcPr>
            <w:tcW w:w="7861"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100" w:type="dxa"/>
            </w:tcMar>
          </w:tcPr>
          <w:p w14:paraId="6201FE93" w14:textId="77777777" w:rsidR="008054D8" w:rsidRDefault="00A8527C">
            <w:r>
              <w:rPr>
                <w:color w:val="000000"/>
                <w:sz w:val="18"/>
                <w:szCs w:val="18"/>
              </w:rPr>
              <w:t>“No funding was received for this study.” Stated in the Funding subsection of the Declarations section.</w:t>
            </w:r>
          </w:p>
        </w:tc>
      </w:tr>
    </w:tbl>
    <w:p w14:paraId="1557A381" w14:textId="77777777" w:rsidR="008054D8" w:rsidRDefault="00A8527C">
      <w:pPr>
        <w:spacing w:before="240"/>
      </w:pPr>
      <w:r>
        <w:rPr>
          <w:i/>
          <w:iCs/>
          <w:sz w:val="16"/>
          <w:szCs w:val="16"/>
        </w:rPr>
        <w:t>STROBE = Strengthening the Reporting of Observational Studies in Epidemiology. Checklist adapted from: von Elm E et al. The Strengthening the Reporting of Observational Studies in Epidemiology (STROBE) statement: guidelines for reporting observational studies. Ann Intern Med. 2007;147:573–7.</w:t>
      </w:r>
    </w:p>
    <w:sectPr w:rsidR="008054D8">
      <w:pgSz w:w="2088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C221F"/>
    <w:multiLevelType w:val="hybridMultilevel"/>
    <w:tmpl w:val="6EC63494"/>
    <w:lvl w:ilvl="0" w:tplc="73CE3A98">
      <w:start w:val="1"/>
      <w:numFmt w:val="bullet"/>
      <w:lvlText w:val="●"/>
      <w:lvlJc w:val="left"/>
      <w:pPr>
        <w:ind w:left="720" w:hanging="360"/>
      </w:pPr>
    </w:lvl>
    <w:lvl w:ilvl="1" w:tplc="515C906C">
      <w:start w:val="1"/>
      <w:numFmt w:val="bullet"/>
      <w:lvlText w:val="○"/>
      <w:lvlJc w:val="left"/>
      <w:pPr>
        <w:ind w:left="1440" w:hanging="360"/>
      </w:pPr>
    </w:lvl>
    <w:lvl w:ilvl="2" w:tplc="091862D8">
      <w:start w:val="1"/>
      <w:numFmt w:val="bullet"/>
      <w:lvlText w:val="■"/>
      <w:lvlJc w:val="left"/>
      <w:pPr>
        <w:ind w:left="2160" w:hanging="360"/>
      </w:pPr>
    </w:lvl>
    <w:lvl w:ilvl="3" w:tplc="93662B5A">
      <w:start w:val="1"/>
      <w:numFmt w:val="bullet"/>
      <w:lvlText w:val="●"/>
      <w:lvlJc w:val="left"/>
      <w:pPr>
        <w:ind w:left="2880" w:hanging="360"/>
      </w:pPr>
    </w:lvl>
    <w:lvl w:ilvl="4" w:tplc="9D684998">
      <w:start w:val="1"/>
      <w:numFmt w:val="bullet"/>
      <w:lvlText w:val="○"/>
      <w:lvlJc w:val="left"/>
      <w:pPr>
        <w:ind w:left="3600" w:hanging="360"/>
      </w:pPr>
    </w:lvl>
    <w:lvl w:ilvl="5" w:tplc="DCD0BB9A">
      <w:start w:val="1"/>
      <w:numFmt w:val="bullet"/>
      <w:lvlText w:val="■"/>
      <w:lvlJc w:val="left"/>
      <w:pPr>
        <w:ind w:left="4320" w:hanging="360"/>
      </w:pPr>
    </w:lvl>
    <w:lvl w:ilvl="6" w:tplc="8A70602A">
      <w:start w:val="1"/>
      <w:numFmt w:val="bullet"/>
      <w:lvlText w:val="●"/>
      <w:lvlJc w:val="left"/>
      <w:pPr>
        <w:ind w:left="5040" w:hanging="360"/>
      </w:pPr>
    </w:lvl>
    <w:lvl w:ilvl="7" w:tplc="8918D2B8">
      <w:start w:val="1"/>
      <w:numFmt w:val="bullet"/>
      <w:lvlText w:val="●"/>
      <w:lvlJc w:val="left"/>
      <w:pPr>
        <w:ind w:left="5760" w:hanging="360"/>
      </w:pPr>
    </w:lvl>
    <w:lvl w:ilvl="8" w:tplc="75940D96">
      <w:start w:val="1"/>
      <w:numFmt w:val="bullet"/>
      <w:lvlText w:val="●"/>
      <w:lvlJc w:val="left"/>
      <w:pPr>
        <w:ind w:left="6480" w:hanging="360"/>
      </w:pPr>
    </w:lvl>
  </w:abstractNum>
  <w:num w:numId="1" w16cid:durableId="16319364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4D8"/>
    <w:rsid w:val="00081258"/>
    <w:rsid w:val="000B02B0"/>
    <w:rsid w:val="001008CD"/>
    <w:rsid w:val="00122B98"/>
    <w:rsid w:val="001C1D4A"/>
    <w:rsid w:val="00325086"/>
    <w:rsid w:val="003F2C1A"/>
    <w:rsid w:val="00481629"/>
    <w:rsid w:val="004B27B3"/>
    <w:rsid w:val="004C5AE2"/>
    <w:rsid w:val="005367C8"/>
    <w:rsid w:val="006415F8"/>
    <w:rsid w:val="006D31DA"/>
    <w:rsid w:val="006F691A"/>
    <w:rsid w:val="0072464B"/>
    <w:rsid w:val="00726D02"/>
    <w:rsid w:val="007E4A3F"/>
    <w:rsid w:val="008054D8"/>
    <w:rsid w:val="008C42C3"/>
    <w:rsid w:val="008E6F29"/>
    <w:rsid w:val="00985A32"/>
    <w:rsid w:val="00A05615"/>
    <w:rsid w:val="00A209ED"/>
    <w:rsid w:val="00A8527C"/>
    <w:rsid w:val="00AA4313"/>
    <w:rsid w:val="00AB357C"/>
    <w:rsid w:val="00AC62C4"/>
    <w:rsid w:val="00B9679C"/>
    <w:rsid w:val="00BC09EC"/>
    <w:rsid w:val="00BC536F"/>
    <w:rsid w:val="00C13597"/>
    <w:rsid w:val="00C23CFD"/>
    <w:rsid w:val="00D75AE4"/>
    <w:rsid w:val="00E9513F"/>
    <w:rsid w:val="00F33609"/>
    <w:rsid w:val="00F34778"/>
    <w:rsid w:val="00F53F06"/>
    <w:rsid w:val="00FA0F71"/>
    <w:rsid w:val="00FF00D8"/>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ecimalSymbol w:val="."/>
  <w:listSeparator w:val=","/>
  <w14:docId w14:val="443D01DD"/>
  <w15:docId w15:val="{F6C8A89A-1363-6D4D-AAAF-B3E997478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H"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2829</Words>
  <Characters>16325</Characters>
  <Application>Microsoft Office Word</Application>
  <DocSecurity>0</DocSecurity>
  <Lines>379</Lines>
  <Paragraphs>165</Paragraphs>
  <ScaleCrop>false</ScaleCrop>
  <Company/>
  <LinksUpToDate>false</LinksUpToDate>
  <CharactersWithSpaces>18989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William Obeng</cp:lastModifiedBy>
  <cp:revision>35</cp:revision>
  <dcterms:created xsi:type="dcterms:W3CDTF">2026-05-13T07:48:00Z</dcterms:created>
  <dcterms:modified xsi:type="dcterms:W3CDTF">2026-05-13T09:58:00Z</dcterms:modified>
</cp:coreProperties>
</file>