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A91AE">
      <w:pPr>
        <w:spacing w:line="360" w:lineRule="auto"/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</w:pPr>
      <w:bookmarkStart w:id="0" w:name="_GoBack"/>
      <w:bookmarkEnd w:id="0"/>
      <w:r>
        <w:rPr>
          <w:rFonts w:hint="eastAsia" w:ascii="Times New Roman" w:hAnsi="Times New Roman" w:cs="Times New Roman" w:eastAsiaTheme="minorHAnsi"/>
          <w:b/>
          <w:bCs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  <w14:ligatures w14:val="standardContextual"/>
        </w:rPr>
        <w:t>S</w:t>
      </w:r>
      <w:r>
        <w:rPr>
          <w:rFonts w:hint="eastAsia" w:ascii="Times New Roman" w:hAnsi="Times New Roman" w:cs="Times New Roman" w:eastAsiaTheme="minorHAnsi"/>
          <w:b/>
          <w:bCs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 xml:space="preserve">1. </w:t>
      </w:r>
      <w:r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>Kaplan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>Meier curves of PFS and OS among individual immune checkpoint inhibitor regimens in the immunochemotherapy group.</w:t>
      </w:r>
    </w:p>
    <w:p w14:paraId="66C98F4C">
      <w:pPr>
        <w:spacing w:line="360" w:lineRule="auto"/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</w:pPr>
      <w:r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>(A) PFS among individual ICI regimens.</w:t>
      </w:r>
    </w:p>
    <w:p w14:paraId="3A07AACD">
      <w:pPr>
        <w:spacing w:line="360" w:lineRule="auto"/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</w:pPr>
      <w:r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>(B) OS among individual ICI regimens.</w:t>
      </w:r>
    </w:p>
    <w:p w14:paraId="76C06E7C">
      <w:pPr>
        <w:spacing w:line="360" w:lineRule="auto"/>
        <w:rPr>
          <w:rFonts w:ascii="Times New Roman" w:hAnsi="Times New Roman" w:cs="Times New Roman"/>
          <w:b w:val="0"/>
          <w:bCs w:val="0"/>
          <w:highlight w:val="none"/>
          <w:lang w:val="en-US"/>
        </w:rPr>
      </w:pPr>
      <w:r>
        <w:rPr>
          <w:rFonts w:hint="eastAsia" w:ascii="Times New Roman" w:hAnsi="Times New Roman" w:cs="Times New Roman" w:eastAsiaTheme="minorHAnsi"/>
          <w:b w:val="0"/>
          <w:bCs w:val="0"/>
          <w:color w:val="auto"/>
          <w:kern w:val="2"/>
          <w:sz w:val="24"/>
          <w:szCs w:val="24"/>
          <w:highlight w:val="none"/>
          <w:lang w:val="en-US" w:eastAsia="en-US" w:bidi="ar-SA"/>
          <w14:ligatures w14:val="standardContextual"/>
        </w:rPr>
        <w:t>PFS, progression-free survival; OS, overall survival; Adebre+Chemo, adebrelimab plus chemotherapy; Atezo+Chemo, atezolizumab plus chemotherapy; Durva+Chemo, durvalumab plus chemotherapy; Serplu+Chemo, serplulimab plus chemotherapy; Toripa+Chemo, toripalimab plus chemotherapy.</w:t>
      </w:r>
    </w:p>
    <w:p w14:paraId="1C6141B9"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ptos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wZTJjNzUyYmI4MDVlNmU3YzBjOWNiNmZiNzQ4ZjIifQ=="/>
    <w:docVar w:name="KY_MEDREF_DOCUID" w:val="{C16E043B-3E8E-483A-9DAC-9CAAEAAFC654}"/>
    <w:docVar w:name="KY_MEDREF_VERSION" w:val="3"/>
  </w:docVars>
  <w:rsids>
    <w:rsidRoot w:val="00BC24E7"/>
    <w:rsid w:val="00066BB0"/>
    <w:rsid w:val="000F6ABF"/>
    <w:rsid w:val="00117031"/>
    <w:rsid w:val="00126C84"/>
    <w:rsid w:val="00297373"/>
    <w:rsid w:val="00347AEF"/>
    <w:rsid w:val="005614D3"/>
    <w:rsid w:val="005D3816"/>
    <w:rsid w:val="005D404C"/>
    <w:rsid w:val="006820FD"/>
    <w:rsid w:val="00682C3E"/>
    <w:rsid w:val="00713133"/>
    <w:rsid w:val="0079284F"/>
    <w:rsid w:val="008C2A83"/>
    <w:rsid w:val="008C6053"/>
    <w:rsid w:val="008D0CDD"/>
    <w:rsid w:val="00AF1B09"/>
    <w:rsid w:val="00BC24E7"/>
    <w:rsid w:val="00C53799"/>
    <w:rsid w:val="00E72336"/>
    <w:rsid w:val="012E7125"/>
    <w:rsid w:val="181A776F"/>
    <w:rsid w:val="2B5279A6"/>
    <w:rsid w:val="3B4361C2"/>
    <w:rsid w:val="506921E6"/>
    <w:rsid w:val="63D20A4A"/>
    <w:rsid w:val="63E66668"/>
    <w:rsid w:val="640A4F73"/>
    <w:rsid w:val="6A2B0A8B"/>
    <w:rsid w:val="71F2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en-CA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semiHidden/>
    <w:unhideWhenUsed/>
    <w:qFormat/>
    <w:uiPriority w:val="99"/>
    <w:rPr>
      <w:sz w:val="20"/>
      <w:szCs w:val="20"/>
    </w:rPr>
  </w:style>
  <w:style w:type="paragraph" w:styleId="12">
    <w:name w:val="Subtitle"/>
    <w:basedOn w:val="1"/>
    <w:next w:val="1"/>
    <w:link w:val="29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42"/>
    <w:semiHidden/>
    <w:unhideWhenUsed/>
    <w:qFormat/>
    <w:uiPriority w:val="99"/>
    <w:rPr>
      <w:b/>
      <w:bCs/>
    </w:rPr>
  </w:style>
  <w:style w:type="character" w:styleId="17">
    <w:name w:val="Hyperlink"/>
    <w:qFormat/>
    <w:uiPriority w:val="0"/>
    <w:rPr>
      <w:u w:val="single"/>
    </w:rPr>
  </w:style>
  <w:style w:type="character" w:styleId="18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customStyle="1" w:styleId="19">
    <w:name w:val="Heading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6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Body"/>
    <w:qFormat/>
    <w:uiPriority w:val="0"/>
    <w:pPr>
      <w:spacing w:after="160" w:line="260" w:lineRule="atLeast"/>
      <w:jc w:val="both"/>
    </w:pPr>
    <w:rPr>
      <w:rFonts w:ascii="Palatino Linotype" w:hAnsi="Palatino Linotype" w:eastAsia="Palatino Linotype" w:cs="Palatino Linotype"/>
      <w:color w:val="000000"/>
      <w:kern w:val="0"/>
      <w:sz w:val="20"/>
      <w:szCs w:val="20"/>
      <w:u w:color="000000"/>
      <w:lang w:val="en-US" w:eastAsia="en-US" w:bidi="ar-SA"/>
      <w14:ligatures w14:val="none"/>
    </w:rPr>
  </w:style>
  <w:style w:type="paragraph" w:customStyle="1" w:styleId="38">
    <w:name w:val="MDPI_1.6_affiliation"/>
    <w:qFormat/>
    <w:uiPriority w:val="0"/>
    <w:pPr>
      <w:spacing w:after="160" w:line="200" w:lineRule="atLeast"/>
      <w:ind w:left="2806" w:hanging="198"/>
      <w:jc w:val="both"/>
    </w:pPr>
    <w:rPr>
      <w:rFonts w:ascii="Palatino Linotype" w:hAnsi="Palatino Linotype" w:eastAsia="Palatino Linotype" w:cs="Palatino Linotype"/>
      <w:color w:val="000000"/>
      <w:kern w:val="0"/>
      <w:sz w:val="16"/>
      <w:szCs w:val="16"/>
      <w:u w:color="000000"/>
      <w:lang w:val="en-US" w:eastAsia="en-US" w:bidi="ar-SA"/>
      <w14:ligatures w14:val="none"/>
    </w:rPr>
  </w:style>
  <w:style w:type="paragraph" w:customStyle="1" w:styleId="39">
    <w:name w:val="MDPI_3.1_text"/>
    <w:qFormat/>
    <w:uiPriority w:val="0"/>
    <w:pPr>
      <w:spacing w:after="160" w:line="228" w:lineRule="auto"/>
      <w:ind w:left="2608" w:firstLine="425"/>
      <w:jc w:val="both"/>
    </w:pPr>
    <w:rPr>
      <w:rFonts w:ascii="Palatino Linotype" w:hAnsi="Palatino Linotype" w:eastAsia="Palatino Linotype" w:cs="Palatino Linotype"/>
      <w:color w:val="000000"/>
      <w:kern w:val="0"/>
      <w:sz w:val="20"/>
      <w:szCs w:val="20"/>
      <w:u w:color="000000"/>
      <w:lang w:val="en-US" w:eastAsia="en-US" w:bidi="ar-SA"/>
      <w14:ligatures w14:val="none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HAnsi" w:cstheme="minorBidi"/>
      <w:kern w:val="2"/>
      <w:sz w:val="24"/>
      <w:szCs w:val="24"/>
      <w:lang w:val="en-CA" w:eastAsia="en-US" w:bidi="ar-SA"/>
      <w14:ligatures w14:val="standardContextual"/>
    </w:rPr>
  </w:style>
  <w:style w:type="character" w:customStyle="1" w:styleId="41">
    <w:name w:val="Comment Text Char"/>
    <w:basedOn w:val="16"/>
    <w:link w:val="11"/>
    <w:semiHidden/>
    <w:qFormat/>
    <w:uiPriority w:val="99"/>
    <w:rPr>
      <w:sz w:val="20"/>
      <w:szCs w:val="20"/>
    </w:rPr>
  </w:style>
  <w:style w:type="character" w:customStyle="1" w:styleId="42">
    <w:name w:val="Comment Subject Char"/>
    <w:basedOn w:val="41"/>
    <w:link w:val="14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2655</Characters>
  <Lines>120</Lines>
  <Paragraphs>72</Paragraphs>
  <TotalTime>0</TotalTime>
  <ScaleCrop>false</ScaleCrop>
  <LinksUpToDate>false</LinksUpToDate>
  <CharactersWithSpaces>3041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2025-12-19T21:03:00Z</dcterms:created>
  <dc:creator>Author</dc:creator>
  <cp:lastModifiedBy>邬麟</cp:lastModifiedBy>
  <dcterms:modified xsi:type="dcterms:W3CDTF">2026-05-11T07:58:48Z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BF4DA839D5DB4B0FB5DE70C9FC74EA76_12</vt:lpwstr>
  </property>
</Properties>
</file>