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 w:before="120" w:after="240"/>
      </w:pPr>
      <w:r>
        <w:rPr>
          <w:rFonts w:ascii="Times New Roman" w:hAnsi="Times New Roman" w:eastAsia="宋体"/>
          <w:b/>
          <w:i w:val="0"/>
          <w:sz w:val="22"/>
        </w:rPr>
        <w:t>Supplementary Material 1. Candidate variable pool and feature selection rationale for the final prediction model.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Category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Candidate Variable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Variable Type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Final Inclusion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/>
                <w:sz w:val="20"/>
              </w:rPr>
              <w:t>Rationale for Exclusion or Retention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Demographics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Age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Static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Core prognostic factor in elderly sepsis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Demographics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Sex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Static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Not retained; acute physiological and chronic comorbidity markers demonstrated stronger independent associations with mortality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Demographics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Body mass index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Static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Missing rate &gt;55% in first 24 h; height often unavailable in ICU admission records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Comorbidities &amp; Frailty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Diabetes mellitus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Static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Established sepsis risk factor; binary flag from ICD codes and medication history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Comorbidities &amp; Frailty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Heart failure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Static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Major organ dysfunction predictor; independent prognostic value in elderly sepsis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Comorbidities &amp; Frailty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Charlson Comorbidity Index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Static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Validated composite metric for chronic disease burden; widely used in elderly ICU mortality prediction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Comorbidities &amp; Frailty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Frailty status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Static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Validated electronic frailty metric (Hospital Frailty Risk Score) for older acute care patients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Comorbidities &amp; Frailty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Hypertension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Static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High collinearity with MAP/SBP (Pearson r &gt; 0.82); chronic condition captured by Charlson index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Comorbidities &amp; Frailty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Chronic kidney disease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Static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Renal function captured dynamically by creatinine and BUN; redundant with acute markers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Comorbidities &amp; Frailty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Chronic liver disease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Static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Low prevalence (&lt;5%); high bilirubin missingness precludes reliable dynamic inclusion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Comorbidities &amp; Frailty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Coronary artery disease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Static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Low prevalence; not independently predictive in elderly sepsis subgroups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Comorbidities &amp; Frailty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Malignancy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Static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Incomplete ICD documentation in eICU-CRD; prevalence too low for stable estimation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Vital Signs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Heart rate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Core circulatory parameter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Vital Signs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Systolic blood pressure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Essential hemodynamic indicator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Vital Signs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Diastolic blood pressure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Complements SBP; required for MAP derivation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Vital Signs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Mean arterial pressure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Derived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Calculated from SBP/DBP; integrated perfusion metric retained despite mathematical derivation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Vital Signs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Respiratory rate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Early indicator of respiratory deterioration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Vital Signs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SpO2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Non-invasive oxygenation monitoring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Vital Signs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Temperature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Infection response indicator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Vital Signs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Central venous pressure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Invasive measurement; missing rate &gt;70%; not routinely available in all ICUs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PaO2/FiO2 ratio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Derived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Standardized oxygenation index; calculated from paired arterial blood gas within 24 h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Lactate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Tissue perfusion and sepsis severity biomarker; strong prognostic value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Creatinine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Renal function marker; SOFA renal subscore component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Blood urea nitrogen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Renal and metabolic status; independent prognostic value in sepsis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White blood cell count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Infection/inflammation indicator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Hemoglobin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Oxygen-carrying capacity; sepsis-associated anemia marker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Platelet count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Sepsis-induced coagulopathy and bone marrow suppression indicator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International normalized ratio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Coagulation dysfunction marker; SOFA coagulation subscore component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Activated partial thromboplastin time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Collinearity with INR (Pearson r = 0.78) combined with higher missing rate; redundant coagulation information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Total bilirubin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Missing rate &gt;40% in first 24 h; liver dysfunction captured by INR and clinical context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Alanine aminotransferase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Missing rate &gt;45%; not independently prognostic in early sepsis mortality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Aspartate aminotransferase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Missing rate &gt;45%; high collinearity with ALT (r &gt; 0.85)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Serum albumin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Missing rate &gt;50%; chronic nutritional marker diluted by acute-phase response in sepsis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Serum sodium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Low predictive increment beyond renal/electrolyte markers already represented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Serum potassium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Low predictive increment; often artifactually altered by resuscitation fluids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Serum glucose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High collinearity with diabetes status and acute stress response; difficult to distinguish from iatrogenic insulin effect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Laboratory Tests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Anion gap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Derived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Redundant with lactate and BUN for metabolic acidosis assessment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Neurological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GCS total score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Derived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Mathematical sum of subcomponents; collinear with individual items (r &gt; 0.90); excluded to preserve granular interpretability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Neurological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GCS eye opening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Independent neurological domain; prognostic value in sepsis-associated encephalopathy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Neurological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GCS verbal response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Independent neurological domain; strongest GCS predictor per SHAP analysis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Neurological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GCS motor response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Dynamic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Y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Independent neurological domain; motor component least affected by sedation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Severity Scores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SOFA score (total)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Composite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Used for Sepsis-3 cohort definition; inclusion as predictor risks circular reasoning</w:t>
            </w:r>
          </w:p>
        </w:tc>
      </w:tr>
      <w:tr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Severity Scores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APACHE II score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Composite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 w:after="40" w:before="40"/>
            </w:pPr>
            <w:r/>
            <w:r>
              <w:rPr>
                <w:rFonts w:ascii="Times New Roman" w:hAnsi="Times New Roman" w:eastAsia="宋体"/>
                <w:b w:val="0"/>
                <w:sz w:val="20"/>
              </w:rPr>
              <w:t>Requires extensive 24-hour data collection; contradicts minimalist study aim; components already represented by individual variables</w:t>
            </w:r>
          </w:p>
        </w:tc>
      </w:tr>
    </w:tbl>
    <w:p>
      <w:pPr>
        <w:spacing w:line="480" w:lineRule="auto" w:before="120" w:after="120"/>
      </w:pPr>
      <w:r>
        <w:rPr>
          <w:rFonts w:ascii="Times New Roman" w:hAnsi="Times New Roman" w:eastAsia="宋体"/>
          <w:b w:val="0"/>
          <w:i/>
          <w:sz w:val="20"/>
        </w:rPr>
        <w:t>Legend: Y = retained in final model; N = excluded. Dynamic variables were extracted within the first 24 hours of ICU admission. Derived variables were computed from raw bedside measurements. Collinearity was assessed using Pearson correlation (exclusion threshold |r| &gt; 0.8) and variance inflation factor (VIF; exclusion threshold &gt; 10) on the training set. The final model retained 23 predictors (5 static, 18 dynamic). Abbreviations: GCS, Glasgow Coma Scale; MAP, mean arterial pressure; SBP, systolic blood pressure; SOFA, Sequential Organ Failure Assessment; BUN, blood urea nitrogen; INR, international normalized ratio; ICU, intensive care unit; ICD, International Classification of Diseases.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120" w:before="120"/>
    </w:pPr>
    <w:rPr>
      <w:rFonts w:ascii="Times New Roman" w:hAnsi="Times New Roman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