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before="18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Supplementary figure 1.</w:t>
      </w:r>
      <w:r w:rsidDel="00000000" w:rsidR="00000000" w:rsidRPr="00000000">
        <w:rPr>
          <w:sz w:val="22"/>
          <w:szCs w:val="22"/>
          <w:rtl w:val="0"/>
        </w:rPr>
        <w:t xml:space="preserve"> STROBE diagram.</w:t>
      </w:r>
    </w:p>
    <w:p w:rsidR="00000000" w:rsidDel="00000000" w:rsidP="00000000" w:rsidRDefault="00000000" w:rsidRPr="00000000" w14:paraId="00000002">
      <w:pPr>
        <w:spacing w:after="180" w:before="180" w:lineRule="auto"/>
        <w:rPr/>
      </w:pPr>
      <w:r w:rsidDel="00000000" w:rsidR="00000000" w:rsidRPr="00000000">
        <w:rPr/>
        <w:drawing>
          <wp:inline distB="114300" distT="114300" distL="114300" distR="114300">
            <wp:extent cx="5881688" cy="5470540"/>
            <wp:effectExtent b="0" l="0" r="0" t="0"/>
            <wp:docPr id="3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6622" r="129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1688" cy="54705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ind w:left="-708.6614173228347" w:firstLine="0"/>
        <w:rPr>
          <w:b w:val="1"/>
          <w:bCs w:val="1"/>
          <w:color w:val="000000"/>
          <w:sz w:val="22"/>
          <w:szCs w:val="22"/>
        </w:rPr>
      </w:pPr>
      <w:bookmarkStart w:colFirst="0" w:colLast="0" w:name="_heading=h.xwa1zytmxiex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ind w:left="-708.6614173228347" w:firstLine="0"/>
        <w:rPr>
          <w:b w:val="1"/>
          <w:bCs w:val="1"/>
          <w:color w:val="000000"/>
          <w:sz w:val="22"/>
          <w:szCs w:val="22"/>
        </w:rPr>
      </w:pPr>
      <w:bookmarkStart w:colFirst="0" w:colLast="0" w:name="_heading=h.hdd9uztu247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60" w:before="60" w:line="240" w:lineRule="auto"/>
        <w:ind w:left="0" w:right="6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ind w:left="-990" w:firstLine="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Supplementary table 1.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Eight-year DFS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and OS by Classification System in Luminal Disease. H</w:t>
      </w:r>
      <w:r w:rsidDel="00000000" w:rsidR="00000000" w:rsidRPr="00000000">
        <w:rPr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azard ratios estimated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using</w:t>
      </w:r>
      <w:r w:rsidDel="00000000" w:rsidR="00000000" w:rsidRPr="00000000">
        <w:rPr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Cox regression with Firth's penalized likelihood.</w:t>
      </w:r>
      <w:r w:rsidDel="00000000" w:rsidR="00000000" w:rsidRPr="00000000">
        <w:rPr>
          <w:rtl w:val="0"/>
        </w:rPr>
      </w:r>
    </w:p>
    <w:tbl>
      <w:tblPr>
        <w:tblStyle w:val="Table1"/>
        <w:tblW w:w="11655.0" w:type="dxa"/>
        <w:jc w:val="center"/>
        <w:tblLayout w:type="fixed"/>
        <w:tblLook w:val="0000"/>
      </w:tblPr>
      <w:tblGrid>
        <w:gridCol w:w="2325"/>
        <w:gridCol w:w="1215"/>
        <w:gridCol w:w="1260"/>
        <w:gridCol w:w="1860"/>
        <w:gridCol w:w="915"/>
        <w:gridCol w:w="1365"/>
        <w:gridCol w:w="1755"/>
        <w:gridCol w:w="960"/>
        <w:tblGridChange w:id="0">
          <w:tblGrid>
            <w:gridCol w:w="2325"/>
            <w:gridCol w:w="1215"/>
            <w:gridCol w:w="1260"/>
            <w:gridCol w:w="1860"/>
            <w:gridCol w:w="915"/>
            <w:gridCol w:w="1365"/>
            <w:gridCol w:w="1755"/>
            <w:gridCol w:w="960"/>
          </w:tblGrid>
        </w:tblGridChange>
      </w:tblGrid>
      <w:tr>
        <w:trPr>
          <w:cantSplit w:val="0"/>
          <w:trHeight w:val="240" w:hRule="atLeast"/>
          <w:tblHeader w:val="1"/>
        </w:trPr>
        <w:tc>
          <w:tcPr>
            <w:tcBorders>
              <w:top w:color="000000" w:space="0" w:sz="16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992.1259842519685" w:right="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6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Disease-Free Survival</w:t>
            </w:r>
          </w:p>
        </w:tc>
        <w:tc>
          <w:tcPr>
            <w:gridSpan w:val="3"/>
            <w:tcBorders>
              <w:top w:color="000000" w:space="0" w:sz="16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Overall Survival</w:t>
            </w:r>
          </w:p>
        </w:tc>
      </w:tr>
      <w:tr>
        <w:trPr>
          <w:cantSplit w:val="0"/>
          <w:trHeight w:val="360" w:hRule="atLeast"/>
          <w:tblHeader w:val="1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0" w:right="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8-Year DFS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HR (95% CI)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8-Year OS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HR (95% CI)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vMerge w:val="restart"/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0" w:right="40"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Clinical Stage (cTNM)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IA-IIA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73.3%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91.0%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IIB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77.9%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0.74 (0.38 - 1.42)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0.363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86.1%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1.19 (0.45 - 3.18)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0.721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IIIA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(0.56 - 1.81)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0.994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1.99 (0.81 - 4.92)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0.100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IIIB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54.4%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1.64 (0.91 - 2.94)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0.080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58.1%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3.99 (1.64 - 9.70)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IIIC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2.17 (0.99 - 4.74)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0.056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65.9%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3.61 (1.19 - 10.99)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0.022</w:t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vMerge w:val="restart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0" w:right="40"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Pathologic Prognostic Stage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79.3%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85.9%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A-I B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74.0%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1.40 (0.74 - 2.67)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0.303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79.6%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1.67 (0.80 - 3.53)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0.176</w:t>
            </w:r>
          </w:p>
        </w:tc>
      </w:tr>
      <w:tr>
        <w:trPr>
          <w:cantSplit w:val="0"/>
          <w:trHeight w:val="234.98046875" w:hRule="atLeast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 A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69.2%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1.56 (0.94 - 2.58)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0.080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70.2%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2.18 (1.22 - 3.92)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 B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64.7%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2.48 (1.32 - 4.65)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72.6%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2.60 (1.23 - 5.47)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0.014</w:t>
            </w:r>
          </w:p>
        </w:tc>
      </w:tr>
      <w:tr>
        <w:trPr>
          <w:cantSplit w:val="0"/>
          <w:trHeight w:val="0" w:hRule="atLeast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 A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60.3%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2.32 (1.35 - 3.98)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0.002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75.2%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2.17 (1.11 - 4.25)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0.023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 B-III C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29.9%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6.29 (3.67 - 10.78)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47.5%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6.19 (3.23 - 11.87)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restart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0" w:right="40"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Residual Cancer Burden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pCR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79.3%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85.9%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RCB-I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66.5%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1.74 (0.95 - 3.20)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0.077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71.3%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2.13 (1.06 - 4.28)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RCB-II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2.01 (1.26 - 3.19)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0.002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70.7%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2.37 (1.36 - 4.13)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RCB-III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57.0%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2.65 (1.62 - 4.35)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69.9%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2.79 (1.53 - 5.07)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0" w:right="40"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Neo-Bioscore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0-1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90.7%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(Reference)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6" w:val="single"/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78.2%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 (0.40 - 2.19)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0.877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84.2%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1.52 (0.46 - 4.95)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6" w:val="single"/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1.09 (0.50 - 2.38)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0.828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82.0%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1.57 (0.51 - 4.84)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0.394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6" w:val="single"/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1.79 (0.82 - 3.90)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0.111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66.8%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3.12 (1.03 - 9.46)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6" w:val="single"/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39.5%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4.19 (1.86 - 9.41)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42.7%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7.99 (2.59 - 24.66)</w:t>
            </w:r>
          </w:p>
        </w:tc>
        <w:tc>
          <w:tcPr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6" w:val="single"/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6+</w:t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0.0%</w:t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11.78 (4.46 - 31.10)</w:t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42.3%</w:t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13.99 (3.74 - 52.27)</w:t>
            </w:r>
          </w:p>
        </w:tc>
        <w:tc>
          <w:tcPr>
            <w:tcBorders>
              <w:bottom w:color="000000" w:space="0" w:sz="16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 0.001</w:t>
            </w:r>
          </w:p>
        </w:tc>
      </w:tr>
    </w:tbl>
    <w:p w:rsidR="00000000" w:rsidDel="00000000" w:rsidP="00000000" w:rsidRDefault="00000000" w:rsidRPr="00000000" w14:paraId="000000C1">
      <w:pPr>
        <w:keepNext w:val="1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60" w:before="60" w:line="240" w:lineRule="auto"/>
        <w:ind w:left="60" w:right="60" w:firstLine="0"/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160" w:line="240" w:lineRule="auto"/>
        <w:ind w:left="-708.6614173228347" w:right="0" w:firstLine="0"/>
        <w:jc w:val="left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Supplementary table 2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 Eight-year DFS and OS by Classification System in HER2-enriched disease. Hazard ratios estimated using Cox regression with Firth's penalized likelihood.</w:t>
      </w:r>
      <w:r w:rsidDel="00000000" w:rsidR="00000000" w:rsidRPr="00000000">
        <w:rPr>
          <w:rtl w:val="0"/>
        </w:rPr>
      </w:r>
    </w:p>
    <w:tbl>
      <w:tblPr>
        <w:tblStyle w:val="Table2"/>
        <w:tblW w:w="11760.0" w:type="dxa"/>
        <w:jc w:val="center"/>
        <w:tblLayout w:type="fixed"/>
        <w:tblLook w:val="0000"/>
      </w:tblPr>
      <w:tblGrid>
        <w:gridCol w:w="2025"/>
        <w:gridCol w:w="915"/>
        <w:gridCol w:w="1155"/>
        <w:gridCol w:w="1815"/>
        <w:gridCol w:w="1140"/>
        <w:gridCol w:w="1020"/>
        <w:gridCol w:w="1995"/>
        <w:gridCol w:w="1695"/>
        <w:tblGridChange w:id="0">
          <w:tblGrid>
            <w:gridCol w:w="2025"/>
            <w:gridCol w:w="915"/>
            <w:gridCol w:w="1155"/>
            <w:gridCol w:w="1815"/>
            <w:gridCol w:w="1140"/>
            <w:gridCol w:w="1020"/>
            <w:gridCol w:w="1995"/>
            <w:gridCol w:w="1695"/>
          </w:tblGrid>
        </w:tblGridChange>
      </w:tblGrid>
      <w:tr>
        <w:trPr>
          <w:cantSplit w:val="0"/>
          <w:trHeight w:val="113.38582677165356" w:hRule="atLeast"/>
          <w:tblHeader w:val="1"/>
        </w:trPr>
        <w:tc>
          <w:tcPr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Disease-Free Survival</w:t>
            </w:r>
          </w:p>
        </w:tc>
        <w:tc>
          <w:tcPr>
            <w:gridSpan w:val="3"/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Overall Survival</w:t>
            </w:r>
          </w:p>
        </w:tc>
      </w:tr>
      <w:tr>
        <w:trPr>
          <w:cantSplit w:val="0"/>
          <w:trHeight w:val="113.38582677165356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8-Year DFS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HR (95% 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8-Year OS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HR (95% 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P-value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Clinical Stage (cTNM)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47.6%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1.52 (0.07 - 35.30)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0.771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47.6%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1.36 (0.06 - 32.00)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0.834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94.7%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0.19 (0.01 - 5.72)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89.5%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0.30 (0.01 - 7.56)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55.5%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1.05 (0.05 - 21.29)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65.1%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0.87 (0.04 - 18.05)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0.926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25.2%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3.81 (0.19 - 78.29)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0.259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35.7%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2.32 (0.11 - 50.04)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0.518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27.8%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4.27 (0.18 - 101.22)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0.265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27.8%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3.55 (0.15 - 85.18)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0.338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Pathologic Prognostic Stage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92.7%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 A-I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66.7%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2.90 (0.73 - 11.45)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0.136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55.6%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6.63 (1.51 - 29.17)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0.010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 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21.7%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5.39 (1.87 - 15.49)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32.8%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8.37 (2.24 - 31.29)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25.94 (0.83 - 813.74)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122.81 (11.92 - 1265.63)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 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13.96 (4.50 - 43.27)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14.3%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21.25 (5.31 - 85.06)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 B-III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17.34 (2.49 - 120.81)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32.44 (3.98 - 264.68)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0.009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Residual Cancer Burden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pCR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92.7%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RCB-I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66.7%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1.94 (0.43 - 8.83)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0.398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57.1%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5.03 (1.07 - 23.54)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0.042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RCB-II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6.97 (2.56 - 18.94)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33.1%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9.78 (2.79 - 34.29)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RCB-III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26.47 (7.19 - 97.42)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57.09 (12.90 - 252.65)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Neo-Bioscore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0-1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95.2%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0.08 (0.01 - 0.63)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95.2%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0.08 (0.01 - 0.65)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0.015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53.6%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0.51 (0.12 - 2.16)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0.372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61.0%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0.45 (0.10 - 1.96)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0.301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38.5%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0.89 (0.19 - 4.09)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0.873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65.0%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0.59 (0.12 - 3.01)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12.9%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2.38 (0.53 - 10.67)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12.9%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2.35 (0.52 - 10.67)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pStyle w:val="Heading3"/>
        <w:ind w:left="-990" w:firstLine="0"/>
        <w:rPr>
          <w:b w:val="1"/>
          <w:bCs w:val="1"/>
          <w:color w:val="000000"/>
          <w:sz w:val="22"/>
          <w:szCs w:val="22"/>
        </w:rPr>
      </w:pPr>
      <w:bookmarkStart w:colFirst="0" w:colLast="0" w:name="_heading=h.ty2l5mwfdkpx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Style w:val="Heading3"/>
        <w:ind w:left="-708.6614173228347" w:firstLine="0"/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w96extb6wnh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Supplementary table 3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 Eight-year DFS and OS by Classification System in triple negative disease. Hazard ratios estimated using Cox regression with Firth's penalized likelihood.</w:t>
      </w:r>
      <w:r w:rsidDel="00000000" w:rsidR="00000000" w:rsidRPr="00000000">
        <w:rPr>
          <w:rtl w:val="0"/>
        </w:rPr>
      </w:r>
    </w:p>
    <w:tbl>
      <w:tblPr>
        <w:tblStyle w:val="Table3"/>
        <w:tblW w:w="10920.0" w:type="dxa"/>
        <w:jc w:val="center"/>
        <w:tblLayout w:type="fixed"/>
        <w:tblLook w:val="0000"/>
      </w:tblPr>
      <w:tblGrid>
        <w:gridCol w:w="1365"/>
        <w:gridCol w:w="1095"/>
        <w:gridCol w:w="1230"/>
        <w:gridCol w:w="1770"/>
        <w:gridCol w:w="930"/>
        <w:gridCol w:w="1365"/>
        <w:gridCol w:w="1800"/>
        <w:gridCol w:w="1365"/>
        <w:tblGridChange w:id="0">
          <w:tblGrid>
            <w:gridCol w:w="1365"/>
            <w:gridCol w:w="1095"/>
            <w:gridCol w:w="1230"/>
            <w:gridCol w:w="1770"/>
            <w:gridCol w:w="930"/>
            <w:gridCol w:w="1365"/>
            <w:gridCol w:w="1800"/>
            <w:gridCol w:w="1365"/>
          </w:tblGrid>
        </w:tblGridChange>
      </w:tblGrid>
      <w:tr>
        <w:trPr>
          <w:cantSplit w:val="0"/>
          <w:trHeight w:val="56.69291338582678" w:hRule="atLeast"/>
          <w:tblHeader w:val="1"/>
        </w:trPr>
        <w:tc>
          <w:tcPr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Disease-Free Survival</w:t>
            </w:r>
          </w:p>
        </w:tc>
        <w:tc>
          <w:tcPr>
            <w:gridSpan w:val="3"/>
            <w:tcBorders>
              <w:top w:color="000000" w:space="0" w:sz="1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Overall Survival</w:t>
            </w:r>
          </w:p>
        </w:tc>
      </w:tr>
      <w:tr>
        <w:trPr>
          <w:cantSplit w:val="0"/>
          <w:trHeight w:val="56.69291338582678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8-Year DFS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HR (95% 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8-Year OS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HR (95% CI)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P-value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Clinical Stage (cTNM)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IA-IIA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93.3%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86.7%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78.3%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2.37 (0.41 - 13.77)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0.279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84.1%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1.13 (0.26 - 4.88)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0.870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59.7%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5.26 (0.97 - 28.70)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61.5%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2.97 (0.77 - 11.44)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0.064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47.4%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7.19 (1.31 - 39.32)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51.0%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4.16 (1.08 - 16.03)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0.012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22.2%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7.73 (1.22 - 49.02)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33.3%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4.27 (0.88 - 20.85)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0.059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Pathologic Prognostic Stage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 A-I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60.7%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3.53 (1.36 - 9.13)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65.1%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3.16 (1.19 - 8.41)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0.021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 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65.0%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2.32 (0.90 - 6.01)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66.2%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2.47 (0.97 - 6.26)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0.051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42.9%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6.14 (1.90 - 19.90)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42.9%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6.29 (1.94 - 20.41)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0.006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 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33.3%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8.72 (3.27 - 23.28)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33.3%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8.73 (3.26 - 23.36)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III B-III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11.6%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14.12 (6.00 - 33.25)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30.7%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12.76 (5.23 - 31.10)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Residual Cancer Burden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pCR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RCB-I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58.5%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2.64 (0.89 - 7.89)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52.8%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3.69 (1.35 - 10.04)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0.013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RCB-II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62.8%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3.41 (1.49 - 7.80)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65.6%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3.15 (1.37 - 7.27)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0.004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RCB-III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20.5%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10.73 (4.81 - 23.96)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33.1%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9.02 (3.95 - 20.61)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&lt; 0.001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u w:val="none"/>
                <w:rtl w:val="0"/>
              </w:rPr>
              <w:t xml:space="preserve">Neo-Bioscore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1.00 (Reference)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-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85.6%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1.20 (0.05 - 26.73)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0.906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93.3%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0.69 (0.03 - 18.34)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83.6%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1.24 (0.07 - 22.74)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80.6%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1.42 (0.08 - 25.87)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52.1%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4.28 (0.24 - 74.97)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58.4%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3.60 (0.20 - 63.47)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0.265</w:t>
            </w:r>
          </w:p>
        </w:tc>
      </w:tr>
      <w:tr>
        <w:trPr>
          <w:cantSplit w:val="0"/>
          <w:trHeight w:val="56.69291338582678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6+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24.7%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8.68 (0.49 - 153.75)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30.1%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8.34 (0.47 - 148.63)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40" w:lineRule="auto"/>
              <w:ind w:left="40" w:right="4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Aptos" w:cs="Aptos" w:eastAsia="Aptos" w:hAnsi="Aptos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 </m:t>
        </m:r>
      </m:oMath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pStyle w:val="Heading3"/>
        <w:ind w:left="-708.6614173228347" w:firstLine="0"/>
        <w:rPr>
          <w:sz w:val="22"/>
          <w:szCs w:val="22"/>
        </w:rPr>
      </w:pPr>
      <w:bookmarkStart w:colFirst="0" w:colLast="0" w:name="_heading=h.dlmc04npn18d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Supplementary figure 2.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Alluvial plot showing the change in distribution between post-neoadjuvant prognostic models.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Rule="auto"/>
        <w:ind w:left="60" w:right="60" w:firstLine="0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180" w:before="180" w:lineRule="auto"/>
        <w:rPr/>
      </w:pPr>
      <w:r w:rsidDel="00000000" w:rsidR="00000000" w:rsidRPr="00000000">
        <w:rPr/>
        <w:drawing>
          <wp:inline distB="0" distT="0" distL="114300" distR="114300">
            <wp:extent cx="5938838" cy="4751070"/>
            <wp:effectExtent b="0" l="0" r="0" t="0"/>
            <wp:docPr id="4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8838" cy="4751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60" w:lineRule="auto"/>
        <w:ind w:left="60" w:right="60" w:firstLine="0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pStyle w:val="Heading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3"/>
        <w:ind w:left="-708.6614173228347" w:firstLine="0"/>
        <w:rPr>
          <w:color w:val="000000"/>
          <w:sz w:val="22"/>
          <w:szCs w:val="22"/>
        </w:rPr>
      </w:pPr>
      <w:bookmarkStart w:colFirst="0" w:colLast="0" w:name="_heading=h.3y891tp3a45i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Supplementary figure 3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 Calibration plot for the estimation of 8-year DFS, all models.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5334000" cy="3810000"/>
            <wp:effectExtent b="0" l="0" r="0" t="0"/>
            <wp:docPr id="4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pacing w:after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Supplementary table 4.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Comparative prognostic accuracy and reclassification improvement of staging systems for OS at 5 and 8 years, overall.</w:t>
      </w:r>
    </w:p>
    <w:p w:rsidR="00000000" w:rsidDel="00000000" w:rsidP="00000000" w:rsidRDefault="00000000" w:rsidRPr="00000000" w14:paraId="0000023B">
      <w:pPr>
        <w:spacing w:after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center"/>
        <w:tblLayout w:type="fixed"/>
        <w:tblLook w:val="0000"/>
      </w:tblPr>
      <w:tblGrid>
        <w:gridCol w:w="2061"/>
        <w:gridCol w:w="1216.5"/>
        <w:gridCol w:w="1216.5"/>
        <w:gridCol w:w="1216.5"/>
        <w:gridCol w:w="1216.5"/>
        <w:gridCol w:w="1216.5"/>
        <w:gridCol w:w="1216.5"/>
        <w:tblGridChange w:id="0">
          <w:tblGrid>
            <w:gridCol w:w="2061"/>
            <w:gridCol w:w="1216.5"/>
            <w:gridCol w:w="1216.5"/>
            <w:gridCol w:w="1216.5"/>
            <w:gridCol w:w="1216.5"/>
            <w:gridCol w:w="1216.5"/>
            <w:gridCol w:w="1216.5"/>
          </w:tblGrid>
        </w:tblGridChange>
      </w:tblGrid>
      <w:tr>
        <w:trPr>
          <w:cantSplit w:val="0"/>
          <w:trHeight w:val="575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5-Year Performance</w:t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8-Year Performance</w:t>
            </w:r>
          </w:p>
        </w:tc>
      </w:tr>
      <w:tr>
        <w:trPr>
          <w:cantSplit w:val="0"/>
          <w:trHeight w:val="622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IDI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IDI (%)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Clinical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0.637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0.149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Ref.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0.682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0.131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Ref.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NeoBioscore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0.722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6.46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Pathologic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0.88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RCB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-0.88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0.630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0.138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-3.34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Abbreviations: AUC, Area Under the Curve; IDI, Integrated Discrimination Improvement; RCB, Residual Cancer Burden. Clinical stage served as the reference baseline model for IDI calculations (Ref.).</w:t>
            </w:r>
          </w:p>
        </w:tc>
      </w:tr>
    </w:tbl>
    <w:p w:rsidR="00000000" w:rsidDel="00000000" w:rsidP="00000000" w:rsidRDefault="00000000" w:rsidRPr="00000000" w14:paraId="0000026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00" w:before="100" w:lineRule="auto"/>
        <w:ind w:right="10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pStyle w:val="Heading3"/>
        <w:ind w:left="-141.73228346456688" w:firstLine="0"/>
        <w:rPr/>
      </w:pPr>
      <w:bookmarkStart w:colFirst="0" w:colLast="0" w:name="_heading=h.7v8wmqxhjy6h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Supplementary table 5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 Comparative prognostic accuracy and reclassification improvement of staging systems for DFS at 5 and 8 years, luminal disease.</w:t>
      </w:r>
      <w:r w:rsidDel="00000000" w:rsidR="00000000" w:rsidRPr="00000000">
        <w:rPr>
          <w:rtl w:val="0"/>
        </w:rPr>
      </w:r>
    </w:p>
    <w:tbl>
      <w:tblPr>
        <w:tblStyle w:val="Table5"/>
        <w:tblW w:w="9605.0" w:type="dxa"/>
        <w:jc w:val="center"/>
        <w:tblLayout w:type="fixed"/>
        <w:tblLook w:val="0000"/>
      </w:tblPr>
      <w:tblGrid>
        <w:gridCol w:w="2061"/>
        <w:gridCol w:w="1080"/>
        <w:gridCol w:w="1597"/>
        <w:gridCol w:w="1095"/>
        <w:gridCol w:w="1080"/>
        <w:gridCol w:w="1597"/>
        <w:gridCol w:w="1095"/>
        <w:tblGridChange w:id="0">
          <w:tblGrid>
            <w:gridCol w:w="2061"/>
            <w:gridCol w:w="1080"/>
            <w:gridCol w:w="1597"/>
            <w:gridCol w:w="1095"/>
            <w:gridCol w:w="1080"/>
            <w:gridCol w:w="1597"/>
            <w:gridCol w:w="1095"/>
          </w:tblGrid>
        </w:tblGridChange>
      </w:tblGrid>
      <w:tr>
        <w:trPr>
          <w:cantSplit w:val="0"/>
          <w:trHeight w:val="575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5-Year Performance</w:t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8-Year Performance</w:t>
            </w:r>
          </w:p>
        </w:tc>
      </w:tr>
      <w:tr>
        <w:trPr>
          <w:cantSplit w:val="0"/>
          <w:trHeight w:val="622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IDI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IDI (%)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Clinical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0.574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0.147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Ref.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0.623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0.211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Ref.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NeoBioscore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6.76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6.58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Pathologic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5.52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0.206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3.75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RCB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0.569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0.215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-1.51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rtl w:val="0"/>
              </w:rPr>
              <w:t xml:space="preserve">Abbreviations: AUC, Area Under the Curve; IDI, Integrated Discrimination Improvement; RCB, Residual Cancer Burden. Clinical stage served as the reference baseline model for IDI calculations (Ref.).</w:t>
            </w:r>
          </w:p>
          <w:p w:rsidR="00000000" w:rsidDel="00000000" w:rsidP="00000000" w:rsidRDefault="00000000" w:rsidRPr="00000000" w14:paraId="000002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0" w:right="10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spacing w:after="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Supplementary table 6.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Comparative prognostic accuracy and reclassification improvement of staging systems for OS at 5 and 8 years, luminal disease.</w:t>
            </w:r>
          </w:p>
          <w:p w:rsidR="00000000" w:rsidDel="00000000" w:rsidP="00000000" w:rsidRDefault="00000000" w:rsidRPr="00000000" w14:paraId="0000029C">
            <w:pPr>
              <w:spacing w:after="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498587889"/>
              <w:tag w:val="goog_rdk_0"/>
            </w:sdtPr>
            <w:sdtContent>
              <w:tbl>
                <w:tblPr>
                  <w:tblStyle w:val="Table6"/>
                  <w:tblW w:w="9605.0" w:type="dxa"/>
                  <w:jc w:val="center"/>
                  <w:tblLayout w:type="fixed"/>
                  <w:tblLook w:val="0000"/>
                </w:tblPr>
                <w:tblGrid>
                  <w:gridCol w:w="2061"/>
                  <w:gridCol w:w="1080"/>
                  <w:gridCol w:w="1597"/>
                  <w:gridCol w:w="1095"/>
                  <w:gridCol w:w="1080"/>
                  <w:gridCol w:w="1597"/>
                  <w:gridCol w:w="1095"/>
                  <w:tblGridChange w:id="0">
                    <w:tblGrid>
                      <w:gridCol w:w="2061"/>
                      <w:gridCol w:w="1080"/>
                      <w:gridCol w:w="1597"/>
                      <w:gridCol w:w="1095"/>
                      <w:gridCol w:w="1080"/>
                      <w:gridCol w:w="1597"/>
                      <w:gridCol w:w="1095"/>
                    </w:tblGrid>
                  </w:tblGridChange>
                </w:tblGrid>
                <w:tr>
                  <w:trPr>
                    <w:cantSplit w:val="0"/>
                    <w:trHeight w:val="575" w:hRule="atLeast"/>
                    <w:tblHeader w:val="1"/>
                  </w:trPr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9D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>
                      <w:gridSpan w:val="3"/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9E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5-Year Performance</w:t>
                      </w:r>
                    </w:p>
                  </w:tc>
                  <w:tc>
                    <w:tcPr>
                      <w:gridSpan w:val="3"/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1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8-Year Performance</w:t>
                      </w:r>
                    </w:p>
                  </w:tc>
                </w:tr>
                <w:tr>
                  <w:trPr>
                    <w:cantSplit w:val="0"/>
                    <w:trHeight w:val="622" w:hRule="atLeast"/>
                    <w:tblHeader w:val="1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4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Staging System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5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AUC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6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Brier Score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7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IDI (%)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8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AUC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9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Brier Score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A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IDI (%)</w:t>
                      </w:r>
                    </w:p>
                  </w:tc>
                </w:tr>
                <w:tr>
                  <w:trPr>
                    <w:cantSplit w:val="0"/>
                    <w:trHeight w:val="577" w:hRule="atLeast"/>
                    <w:tblHeader w:val="0"/>
                  </w:trPr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B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Clinical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C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0.631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D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0.123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E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Ref.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AF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0.679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0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0.129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1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Ref.</w:t>
                      </w:r>
                    </w:p>
                  </w:tc>
                </w:tr>
                <w:tr>
                  <w:trPr>
                    <w:cantSplit w:val="0"/>
                    <w:trHeight w:val="573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2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NeoBioscore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3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0.692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4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0.116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5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5.24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6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0.699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7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0.120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8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5.38</w:t>
                      </w:r>
                    </w:p>
                  </w:tc>
                </w:tr>
                <w:tr>
                  <w:trPr>
                    <w:cantSplit w:val="0"/>
                    <w:trHeight w:val="618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9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Pathologic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A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0.672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B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0.120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C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1.03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D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0.623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E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0.132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BF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-1.88</w:t>
                      </w:r>
                    </w:p>
                  </w:tc>
                </w:tr>
                <w:tr>
                  <w:trPr>
                    <w:cantSplit w:val="0"/>
                    <w:trHeight w:val="577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0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RCB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1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0.615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2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0.125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3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-2.07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4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0.568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5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0.139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6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-5.04</w:t>
                      </w:r>
                    </w:p>
                  </w:tc>
                </w:tr>
                <w:tr>
                  <w:trPr>
                    <w:cantSplit w:val="0"/>
                    <w:trHeight w:val="360" w:hRule="atLeast"/>
                    <w:tblHeader w:val="0"/>
                  </w:trPr>
                  <w:tc>
                    <w:tcPr>
                      <w:gridSpan w:val="7"/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2C7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18"/>
                          <w:szCs w:val="18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18"/>
                          <w:szCs w:val="18"/>
                          <w:rtl w:val="0"/>
                        </w:rPr>
                        <w:t xml:space="preserve">Abbreviations: AUC, Area Under the Curve; IDI, Integrated Discrimination Improvement; RCB, Residual Cancer Burden. Clinical stage served as the reference baseline model for IDI calculations (Ref.).</w: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2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0" w:right="10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0" w:right="10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  <w:rtl w:val="0"/>
              </w:rPr>
              <w:t xml:space="preserve">Supplementary table 7.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Comparative prognostic accuracy and reclassification improvement of staging systems for DFS at 5 and 8 years, HER2-enriched disease.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5-Year Performance</w:t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8-Year Performance</w:t>
            </w:r>
          </w:p>
        </w:tc>
      </w:tr>
      <w:tr>
        <w:trPr>
          <w:cantSplit w:val="0"/>
          <w:trHeight w:val="622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IDI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IDI (%)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Clinical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0.763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0.148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Ref.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0.733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0.176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Ref.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NeoBioscore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2.73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3.79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Pathologic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0.804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10.57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RCB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6.39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0.874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17.06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rtl w:val="0"/>
              </w:rPr>
              <w:t xml:space="preserve">Abbreviations: AUC, Area Under the Curve; IDI, Integrated Discrimination Improvement; RCB, Residual Cancer Burden. Clinical stage served as the reference baseline model for IDI calculations (Ref.).</w:t>
            </w:r>
          </w:p>
          <w:p w:rsidR="00000000" w:rsidDel="00000000" w:rsidP="00000000" w:rsidRDefault="00000000" w:rsidRPr="00000000" w14:paraId="000003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spacing w:after="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Supplementary table 8.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Comparative prognostic accuracy and reclassification improvement of staging systems for OS at 5 and 8 years, HER2-enriched disease.</w:t>
            </w:r>
          </w:p>
          <w:sdt>
            <w:sdtPr>
              <w:lock w:val="contentLocked"/>
              <w:id w:val="412168221"/>
              <w:tag w:val="goog_rdk_1"/>
            </w:sdtPr>
            <w:sdtContent>
              <w:tbl>
                <w:tblPr>
                  <w:tblStyle w:val="Table7"/>
                  <w:tblW w:w="9605.0" w:type="dxa"/>
                  <w:jc w:val="center"/>
                  <w:tblLayout w:type="fixed"/>
                  <w:tblLook w:val="0000"/>
                </w:tblPr>
                <w:tblGrid>
                  <w:gridCol w:w="2061"/>
                  <w:gridCol w:w="1080"/>
                  <w:gridCol w:w="1597"/>
                  <w:gridCol w:w="1095"/>
                  <w:gridCol w:w="1080"/>
                  <w:gridCol w:w="1597"/>
                  <w:gridCol w:w="1095"/>
                  <w:tblGridChange w:id="0">
                    <w:tblGrid>
                      <w:gridCol w:w="2061"/>
                      <w:gridCol w:w="1080"/>
                      <w:gridCol w:w="1597"/>
                      <w:gridCol w:w="1095"/>
                      <w:gridCol w:w="1080"/>
                      <w:gridCol w:w="1597"/>
                      <w:gridCol w:w="1095"/>
                    </w:tblGrid>
                  </w:tblGridChange>
                </w:tblGrid>
                <w:tr>
                  <w:trPr>
                    <w:cantSplit w:val="0"/>
                    <w:trHeight w:val="575" w:hRule="atLeast"/>
                    <w:tblHeader w:val="1"/>
                  </w:trPr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4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>
                      <w:gridSpan w:val="3"/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5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5-Year Performance</w:t>
                      </w:r>
                    </w:p>
                  </w:tc>
                  <w:tc>
                    <w:tcPr>
                      <w:gridSpan w:val="3"/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8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8-Year Performance</w:t>
                      </w:r>
                    </w:p>
                  </w:tc>
                </w:tr>
                <w:tr>
                  <w:trPr>
                    <w:cantSplit w:val="0"/>
                    <w:trHeight w:val="622" w:hRule="atLeast"/>
                    <w:tblHeader w:val="1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B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Staging System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C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AUC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D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Brier Score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E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IDI (%)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0F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AUC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0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Brier Score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1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2"/>
                          <w:szCs w:val="22"/>
                          <w:rtl w:val="0"/>
                        </w:rPr>
                        <w:t xml:space="preserve">IDI (%)</w:t>
                      </w:r>
                    </w:p>
                  </w:tc>
                </w:tr>
                <w:tr>
                  <w:trPr>
                    <w:cantSplit w:val="0"/>
                    <w:trHeight w:val="577" w:hRule="atLeast"/>
                    <w:tblHeader w:val="0"/>
                  </w:trPr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2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Clinical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3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0.709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4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0.176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5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Ref.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6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0.685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7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0.130</w:t>
                      </w:r>
                    </w:p>
                  </w:tc>
                  <w:tc>
                    <w:tcPr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8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Ref.</w:t>
                      </w:r>
                    </w:p>
                  </w:tc>
                </w:tr>
                <w:tr>
                  <w:trPr>
                    <w:cantSplit w:val="0"/>
                    <w:trHeight w:val="573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9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NeoBioscore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A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0.740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B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0.158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C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8.74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D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0.744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E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0.118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1F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8.57</w:t>
                      </w:r>
                    </w:p>
                  </w:tc>
                </w:tr>
                <w:tr>
                  <w:trPr>
                    <w:cantSplit w:val="0"/>
                    <w:trHeight w:val="618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0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Pathologic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1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0.819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2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0.152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3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13.74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4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0.830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5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0.104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6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18.46</w:t>
                      </w:r>
                    </w:p>
                  </w:tc>
                </w:tr>
                <w:tr>
                  <w:trPr>
                    <w:cantSplit w:val="0"/>
                    <w:trHeight w:val="577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7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RCB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8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0.851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9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0.139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A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20.35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B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0.881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C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0.102</w:t>
                      </w:r>
                    </w:p>
                  </w:tc>
                  <w:tc>
                    <w:tcPr>
                      <w:tcBorders>
                        <w:top w:color="000000" w:space="0" w:sz="0" w:val="nil"/>
                        <w:left w:color="000000" w:space="0" w:sz="0" w:val="nil"/>
                        <w:bottom w:color="666666" w:space="0" w:sz="12" w:val="single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D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jc w:val="center"/>
                        <w:rPr>
                          <w:rFonts w:ascii="Arial" w:cs="Arial" w:eastAsia="Arial" w:hAnsi="Arial"/>
                          <w:sz w:val="22"/>
                          <w:szCs w:val="22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2"/>
                          <w:szCs w:val="22"/>
                          <w:rtl w:val="0"/>
                        </w:rPr>
                        <w:t xml:space="preserve">23.78</w:t>
                      </w:r>
                    </w:p>
                  </w:tc>
                </w:tr>
                <w:tr>
                  <w:trPr>
                    <w:cantSplit w:val="0"/>
                    <w:trHeight w:val="360" w:hRule="atLeast"/>
                    <w:tblHeader w:val="0"/>
                  </w:trPr>
                  <w:tc>
                    <w:tcPr>
                      <w:gridSpan w:val="7"/>
                      <w:tcBorders>
                        <w:top w:color="666666" w:space="0" w:sz="12" w:val="single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cBorders>
                      <w:shd w:fill="ffffff" w:val="clear"/>
                      <w:tcMar>
                        <w:top w:w="0.0" w:type="dxa"/>
                        <w:left w:w="0.0" w:type="dxa"/>
                        <w:bottom w:w="0.0" w:type="dxa"/>
                        <w:right w:w="0.0" w:type="dxa"/>
                      </w:tcMar>
                      <w:vAlign w:val="center"/>
                    </w:tcPr>
                    <w:p w:rsidR="00000000" w:rsidDel="00000000" w:rsidP="00000000" w:rsidRDefault="00000000" w:rsidRPr="00000000" w14:paraId="0000032E">
                      <w:pPr>
                        <w:pBdr>
                          <w:top w:color="000000" w:space="0" w:sz="0" w:val="none"/>
                          <w:left w:color="000000" w:space="0" w:sz="0" w:val="none"/>
                          <w:bottom w:color="000000" w:space="0" w:sz="0" w:val="none"/>
                          <w:right w:color="000000" w:space="0" w:sz="0" w:val="none"/>
                        </w:pBdr>
                        <w:spacing w:after="100" w:before="100" w:lineRule="auto"/>
                        <w:ind w:left="100" w:right="100" w:firstLine="0"/>
                        <w:rPr>
                          <w:rFonts w:ascii="Arial" w:cs="Arial" w:eastAsia="Arial" w:hAnsi="Arial"/>
                          <w:sz w:val="18"/>
                          <w:szCs w:val="18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18"/>
                          <w:szCs w:val="18"/>
                          <w:rtl w:val="0"/>
                        </w:rPr>
                        <w:t xml:space="preserve">Abbreviations: AUC, Area Under the Curve; IDI, Integrated Discrimination Improvement; RCB, Residual Cancer Burden. Clinical stage served as the reference baseline model for IDI calculations (Ref.).</w: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3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0" w:right="100" w:firstLine="0"/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0" w:right="100" w:firstLine="0"/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Rule="auto"/>
              <w:ind w:left="100" w:right="100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2"/>
                <w:szCs w:val="22"/>
                <w:rtl w:val="0"/>
              </w:rPr>
              <w:t xml:space="preserve">Supplementary table 9.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Comparative prognostic accuracy and reclassification improvement of staging systems for DFS at 5 and 8 years, triple negative disease.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1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5-Year Performance</w:t>
            </w:r>
          </w:p>
        </w:tc>
        <w:tc>
          <w:tcPr>
            <w:gridSpan w:val="3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8-Year Performance</w:t>
            </w:r>
          </w:p>
        </w:tc>
      </w:tr>
      <w:tr>
        <w:trPr>
          <w:cantSplit w:val="0"/>
          <w:trHeight w:val="622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Staging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IDI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AUC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Brier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IDI (%)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Clinical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0.661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0.193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Ref.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0.694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0.208</w:t>
            </w:r>
          </w:p>
        </w:tc>
        <w:tc>
          <w:tcPr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Ref.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NeoBioscore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8.81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9.26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Pathologic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17.34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14.72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RCB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13.83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0.758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0.184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12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rtl w:val="0"/>
              </w:rPr>
              <w:t xml:space="preserve">11.15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666666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rtl w:val="0"/>
              </w:rPr>
              <w:t xml:space="preserve">Abbreviations: AUC, Area Under the Curve; IDI, Integrated Discrimination Improvement; RCB, Residual Cancer Burden. Clinical stage served as the reference baseline model for IDI calculations (Ref.).</w:t>
            </w:r>
          </w:p>
          <w:p w:rsidR="00000000" w:rsidDel="00000000" w:rsidP="00000000" w:rsidRDefault="00000000" w:rsidRPr="00000000" w14:paraId="000003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40" w:lineRule="auto"/>
              <w:ind w:left="100" w:right="10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spacing w:after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Supplementary table 10.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Comparative prognostic accuracy and reclassification improvement of staging systems for OS at 5 and 8 years, triple-negative disease.</w:t>
      </w:r>
    </w:p>
    <w:sdt>
      <w:sdtPr>
        <w:lock w:val="contentLocked"/>
        <w:id w:val="621534115"/>
        <w:tag w:val="goog_rdk_2"/>
      </w:sdtPr>
      <w:sdtContent>
        <w:tbl>
          <w:tblPr>
            <w:tblStyle w:val="Table8"/>
            <w:tblW w:w="9605.0" w:type="dxa"/>
            <w:jc w:val="center"/>
            <w:tblLayout w:type="fixed"/>
            <w:tblLook w:val="0000"/>
          </w:tblPr>
          <w:tblGrid>
            <w:gridCol w:w="2061"/>
            <w:gridCol w:w="1080"/>
            <w:gridCol w:w="1597"/>
            <w:gridCol w:w="1095"/>
            <w:gridCol w:w="1080"/>
            <w:gridCol w:w="1597"/>
            <w:gridCol w:w="1095"/>
            <w:tblGridChange w:id="0">
              <w:tblGrid>
                <w:gridCol w:w="2061"/>
                <w:gridCol w:w="1080"/>
                <w:gridCol w:w="1597"/>
                <w:gridCol w:w="1095"/>
                <w:gridCol w:w="1080"/>
                <w:gridCol w:w="1597"/>
                <w:gridCol w:w="1095"/>
              </w:tblGrid>
            </w:tblGridChange>
          </w:tblGrid>
          <w:tr>
            <w:trPr>
              <w:cantSplit w:val="0"/>
              <w:trHeight w:val="575" w:hRule="atLeast"/>
              <w:tblHeader w:val="1"/>
            </w:trPr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2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3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5-Year Performance</w:t>
                </w:r>
              </w:p>
            </w:tc>
            <w:tc>
              <w:tcPr>
                <w:gridSpan w:val="3"/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6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8-Year Performance</w:t>
                </w:r>
              </w:p>
            </w:tc>
          </w:tr>
          <w:tr>
            <w:trPr>
              <w:cantSplit w:val="0"/>
              <w:trHeight w:val="622" w:hRule="atLeast"/>
              <w:tblHeader w:val="1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9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Staging System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A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AUC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B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Brier Score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C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IDI (%)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D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AUC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E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Brier Score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7F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  <w:rtl w:val="0"/>
                  </w:rPr>
                  <w:t xml:space="preserve">IDI (%)</w:t>
                </w:r>
              </w:p>
            </w:tc>
          </w:tr>
          <w:tr>
            <w:trPr>
              <w:cantSplit w:val="0"/>
              <w:trHeight w:val="577" w:hRule="atLeast"/>
              <w:tblHeader w:val="0"/>
            </w:trPr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0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Clinical</w:t>
                </w:r>
              </w:p>
            </w:tc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1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0.659</w:t>
                </w:r>
              </w:p>
            </w:tc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2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0.199</w:t>
                </w:r>
              </w:p>
            </w:tc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3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Ref.</w:t>
                </w:r>
              </w:p>
            </w:tc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4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0.691</w:t>
                </w:r>
              </w:p>
            </w:tc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5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0.130</w:t>
                </w:r>
              </w:p>
            </w:tc>
            <w:tc>
              <w:tcPr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6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Ref.</w:t>
                </w:r>
              </w:p>
            </w:tc>
          </w:tr>
          <w:tr>
            <w:trPr>
              <w:cantSplit w:val="0"/>
              <w:trHeight w:val="573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7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NeoBioscore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8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0.732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9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0.178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A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11.22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B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0.741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C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0.114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D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10.68</w:t>
                </w:r>
              </w:p>
            </w:tc>
          </w:tr>
          <w:tr>
            <w:trPr>
              <w:cantSplit w:val="0"/>
              <w:trHeight w:val="61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E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Pathologic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8F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0.759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0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0.165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1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15.69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2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0.745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3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0.116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4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13.08</w:t>
                </w:r>
              </w:p>
            </w:tc>
          </w:tr>
          <w:tr>
            <w:trPr>
              <w:cantSplit w:val="0"/>
              <w:trHeight w:val="577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5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RCB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6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0.733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7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0.180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8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8.06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9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0.733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A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0.126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666666" w:space="0" w:sz="12" w:val="single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B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5.62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gridSpan w:val="7"/>
                <w:tcBorders>
                  <w:top w:color="666666" w:space="0" w:sz="12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39C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</w:pBdr>
                  <w:spacing w:after="100" w:before="100" w:lineRule="auto"/>
                  <w:ind w:left="100" w:right="100" w:firstLine="0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Abbreviations: AUC, Area Under the Curve; IDI, Integrated Discrimination Improvement; RCB, Residual Cancer Burden. Clinical stage served as the reference baseline model for IDI calculations (Ref.).</w:t>
                </w:r>
              </w:p>
            </w:tc>
          </w:tr>
        </w:tbl>
      </w:sdtContent>
    </w:sdt>
    <w:p w:rsidR="00000000" w:rsidDel="00000000" w:rsidP="00000000" w:rsidRDefault="00000000" w:rsidRPr="00000000" w14:paraId="000003A3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BodyText">
    <w:name w:val="Body Text"/>
    <w:basedOn w:val="Normal"/>
    <w:link w:val="BodyTextChar"/>
    <w:qFormat w:val="1"/>
    <w:pPr>
      <w:spacing w:after="180" w:before="180"/>
    </w:pPr>
  </w:style>
  <w:style w:type="paragraph" w:styleId="FirstParagraph" w:customStyle="1">
    <w:name w:val="First Paragraph"/>
    <w:basedOn w:val="BodyText"/>
    <w:next w:val="BodyText"/>
    <w:qFormat w:val="1"/>
  </w:style>
  <w:style w:type="paragraph" w:styleId="Compact" w:customStyle="1">
    <w:name w:val="Compact"/>
    <w:basedOn w:val="BodyText"/>
    <w:qFormat w:val="1"/>
    <w:pPr>
      <w:spacing w:after="36" w:before="36"/>
    </w:p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uthor" w:customStyle="1">
    <w:name w:val="Author"/>
    <w:next w:val="BodyText"/>
    <w:qFormat w:val="1"/>
    <w:pPr>
      <w:keepNext w:val="1"/>
      <w:keepLines w:val="1"/>
      <w:jc w:val="center"/>
    </w:pPr>
  </w:style>
  <w:style w:type="paragraph" w:styleId="Date">
    <w:name w:val="Date"/>
    <w:next w:val="BodyText"/>
    <w:qFormat w:val="1"/>
    <w:pPr>
      <w:keepNext w:val="1"/>
      <w:keepLines w:val="1"/>
      <w:jc w:val="center"/>
    </w:pPr>
  </w:style>
  <w:style w:type="paragraph" w:styleId="AbstractTitle" w:customStyle="1">
    <w:name w:val="Abstract Title"/>
    <w:basedOn w:val="Normal"/>
    <w:next w:val="Abstract"/>
    <w:qFormat w:val="1"/>
    <w:pPr>
      <w:keepNext w:val="1"/>
      <w:keepLines w:val="1"/>
      <w:spacing w:after="0" w:before="300"/>
      <w:jc w:val="center"/>
    </w:pPr>
    <w:rPr>
      <w:b w:val="1"/>
      <w:sz w:val="20"/>
      <w:szCs w:val="20"/>
    </w:rPr>
  </w:style>
  <w:style w:type="paragraph" w:styleId="Abstract" w:customStyle="1">
    <w:name w:val="Abstract"/>
    <w:basedOn w:val="Normal"/>
    <w:next w:val="BodyText"/>
    <w:qFormat w:val="1"/>
    <w:pPr>
      <w:keepNext w:val="1"/>
      <w:keepLines w:val="1"/>
      <w:spacing w:after="300" w:before="1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 w:val="1"/>
    <w:pPr/>
    <w:rPr/>
  </w:style>
  <w:style w:type="paragraph" w:styleId="Heading7">
    <w:name w:val="heading 7"/>
    <w:basedOn w:val="Normal"/>
    <w:next w:val="BodyText"/>
    <w:link w:val="Heading7Char"/>
    <w:uiPriority w:val="9"/>
    <w:semiHidden w:val="1"/>
    <w:unhideWhenUsed w:val="1"/>
    <w:qFormat w:val="1"/>
    <w:rsid w:val="00A10FD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BodyText"/>
    <w:link w:val="Heading8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BodyText"/>
    <w:link w:val="Heading9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0FD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0FD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0FD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0FD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0FD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0FD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0FD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0FD9"/>
    <w:rPr>
      <w:rFonts w:cstheme="majorBidi" w:eastAsiaTheme="majorEastAsia"/>
      <w:color w:val="272727" w:themeColor="text1" w:themeTint="0000D8"/>
    </w:rPr>
  </w:style>
  <w:style w:type="paragraph" w:styleId="BlockText">
    <w:name w:val="Block Text"/>
    <w:basedOn w:val="BodyText"/>
    <w:next w:val="BodyText"/>
    <w:uiPriority w:val="9"/>
    <w:unhideWhenUsed w:val="1"/>
    <w:qFormat w:val="1"/>
    <w:pPr>
      <w:spacing w:after="100" w:before="100"/>
      <w:ind w:left="480" w:right="480" w:firstLine="0"/>
    </w:pPr>
  </w:style>
  <w:style w:type="paragraph" w:styleId="FootnoteText">
    <w:name w:val="Footnote Text"/>
    <w:basedOn w:val="Normal"/>
    <w:next w:val="FootnoteText"/>
    <w:uiPriority w:val="9"/>
    <w:unhideWhenUsed w:val="1"/>
    <w:qFormat w:val="1"/>
  </w:style>
  <w:style w:type="paragraph" w:styleId="FootnoteBlockText">
    <w:name w:val="Footnote Block Text"/>
    <w:basedOn w:val="FootnoteText"/>
    <w:next w:val="FootnoteText"/>
    <w:uiPriority w:val="9"/>
    <w:unhideWhenUsed w:val="1"/>
    <w:qFormat w:val="1"/>
    <w:pPr>
      <w:spacing w:after="100" w:before="100"/>
      <w:ind w:left="480" w:right="480" w:firstLine="0"/>
    </w:pPr>
  </w:style>
  <w:style w:type="character" w:styleId="DefaultParagraphFont" w:default="1">
    <w:name w:val="Default Paragraph Font"/>
    <w:semiHidden w:val="1"/>
    <w:unhideWhenUsed w:val="1"/>
  </w:style>
  <w:style w:type="table" w:styleId="Table" w:default="1">
    <w:name w:val="Table"/>
    <w:basedOn w:val="TableNormal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firstRow">
      <w:tblPr>
        <w:jc w:val="left"/>
        <w:tblInd w:w="0.0" w:type="dxa"/>
      </w:tblPr>
      <w:trPr>
        <w:jc w:val="left"/>
      </w:trPr>
      <w:tcPr>
        <w:tcBorders>
          <w:bottom w:space="0" w:sz="0" w:val="single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 w:val="1"/>
      <w:keepLines w:val="1"/>
      <w:spacing w:after="0"/>
    </w:pPr>
    <w:rPr>
      <w:b w:val="1"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BodyTextChar"/>
    <w:pPr>
      <w:spacing w:after="120" w:before="0"/>
    </w:pPr>
    <w:rPr>
      <w:i w:val="1"/>
    </w:rPr>
  </w:style>
  <w:style w:type="paragraph" w:styleId="TableCaption" w:customStyle="1">
    <w:name w:val="Table Caption"/>
    <w:basedOn w:val="Caption"/>
    <w:pPr>
      <w:keepNext w:val="1"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 w:val="1"/>
    </w:pPr>
  </w:style>
  <w:style w:type="character" w:styleId="BodyTextChar" w:customStyle="1">
    <w:name w:val="Body Text Char"/>
    <w:basedOn w:val="DefaultParagraphFont"/>
    <w:link w:val="BodyText"/>
  </w:style>
  <w:style w:type="character" w:styleId="VerbatimChar" w:customStyle="1">
    <w:name w:val="Verbatim Char"/>
    <w:basedOn w:val="BodyTextChar"/>
    <w:rPr>
      <w:rFonts w:ascii="Consolas" w:hAnsi="Consolas"/>
      <w:sz w:val="22"/>
    </w:rPr>
  </w:style>
  <w:style w:type="character" w:styleId="SectionNumber" w:customStyle="1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 w:val="1"/>
    <w:qFormat w:val="1"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365f91" w:themeColor="accent1" w:themeShade="0000BF"/>
    </w:rPr>
  </w:style>
  <w:style w:type="paragraph" w:styleId="SourceCode" w:customStyle="1">
    <w:name w:val="Source Code"/>
    <w:basedOn w:val="Normal"/>
    <w:link w:val="VerbatimChar"/>
    <w:pPr>
      <w:shd w:fill="f8f8f8" w:val="clear"/>
      <w:wordWrap w:val="0"/>
    </w:pPr>
  </w:style>
  <w:style w:type="character" w:styleId="KeywordTok" w:customStyle="1">
    <w:name w:val="KeywordTok"/>
    <w:basedOn w:val="VerbatimChar"/>
    <w:rPr>
      <w:b w:val="1"/>
      <w:color w:val="204a87"/>
      <w:shd w:fill="f8f8f8" w:val="clear"/>
    </w:rPr>
  </w:style>
  <w:style w:type="character" w:styleId="DataTypeTok" w:customStyle="1">
    <w:name w:val="DataTypeTok"/>
    <w:basedOn w:val="VerbatimChar"/>
    <w:rPr>
      <w:color w:val="204a87"/>
      <w:shd w:fill="f8f8f8" w:val="clear"/>
    </w:rPr>
  </w:style>
  <w:style w:type="character" w:styleId="DecValTok" w:customStyle="1">
    <w:name w:val="DecValTok"/>
    <w:basedOn w:val="VerbatimChar"/>
    <w:rPr>
      <w:color w:val="0000cf"/>
      <w:shd w:fill="f8f8f8" w:val="clear"/>
    </w:rPr>
  </w:style>
  <w:style w:type="character" w:styleId="BaseNTok" w:customStyle="1">
    <w:name w:val="BaseNTok"/>
    <w:basedOn w:val="VerbatimChar"/>
    <w:rPr>
      <w:color w:val="0000cf"/>
      <w:shd w:fill="f8f8f8" w:val="clear"/>
    </w:rPr>
  </w:style>
  <w:style w:type="character" w:styleId="FloatTok" w:customStyle="1">
    <w:name w:val="FloatTok"/>
    <w:basedOn w:val="VerbatimChar"/>
    <w:rPr>
      <w:color w:val="0000cf"/>
      <w:shd w:fill="f8f8f8" w:val="clear"/>
    </w:rPr>
  </w:style>
  <w:style w:type="character" w:styleId="ConstantTok" w:customStyle="1">
    <w:name w:val="ConstantTok"/>
    <w:basedOn w:val="VerbatimChar"/>
    <w:rPr>
      <w:color w:val="8f5902"/>
      <w:shd w:fill="f8f8f8" w:val="clear"/>
    </w:rPr>
  </w:style>
  <w:style w:type="character" w:styleId="CharTok" w:customStyle="1">
    <w:name w:val="CharTok"/>
    <w:basedOn w:val="VerbatimChar"/>
    <w:rPr>
      <w:color w:val="4e9a06"/>
      <w:shd w:fill="f8f8f8" w:val="clear"/>
    </w:rPr>
  </w:style>
  <w:style w:type="character" w:styleId="SpecialCharTok" w:customStyle="1">
    <w:name w:val="SpecialCharTok"/>
    <w:basedOn w:val="VerbatimChar"/>
    <w:rPr>
      <w:b w:val="1"/>
      <w:color w:val="ce5c00"/>
      <w:shd w:fill="f8f8f8" w:val="clear"/>
    </w:rPr>
  </w:style>
  <w:style w:type="character" w:styleId="StringTok" w:customStyle="1">
    <w:name w:val="StringTok"/>
    <w:basedOn w:val="VerbatimChar"/>
    <w:rPr>
      <w:color w:val="4e9a06"/>
      <w:shd w:fill="f8f8f8" w:val="clear"/>
    </w:rPr>
  </w:style>
  <w:style w:type="character" w:styleId="VerbatimStringTok" w:customStyle="1">
    <w:name w:val="VerbatimStringTok"/>
    <w:basedOn w:val="VerbatimChar"/>
    <w:rPr>
      <w:color w:val="4e9a06"/>
      <w:shd w:fill="f8f8f8" w:val="clear"/>
    </w:rPr>
  </w:style>
  <w:style w:type="character" w:styleId="SpecialStringTok" w:customStyle="1">
    <w:name w:val="SpecialStringTok"/>
    <w:basedOn w:val="VerbatimChar"/>
    <w:rPr>
      <w:color w:val="4e9a06"/>
      <w:shd w:fill="f8f8f8" w:val="clear"/>
    </w:rPr>
  </w:style>
  <w:style w:type="character" w:styleId="ImportTok" w:customStyle="1">
    <w:name w:val="ImportTok"/>
    <w:basedOn w:val="VerbatimChar"/>
    <w:rPr>
      <w:shd w:fill="f8f8f8" w:val="clear"/>
    </w:rPr>
  </w:style>
  <w:style w:type="character" w:styleId="CommentTok" w:customStyle="1">
    <w:name w:val="CommentTok"/>
    <w:basedOn w:val="VerbatimChar"/>
    <w:rPr>
      <w:i w:val="1"/>
      <w:color w:val="8f5902"/>
      <w:shd w:fill="f8f8f8" w:val="clear"/>
    </w:rPr>
  </w:style>
  <w:style w:type="character" w:styleId="DocumentationTok" w:customStyle="1">
    <w:name w:val="DocumentationTok"/>
    <w:basedOn w:val="VerbatimChar"/>
    <w:rPr>
      <w:b w:val="1"/>
      <w:i w:val="1"/>
      <w:color w:val="8f5902"/>
      <w:shd w:fill="f8f8f8" w:val="clear"/>
    </w:rPr>
  </w:style>
  <w:style w:type="character" w:styleId="AnnotationTok" w:customStyle="1">
    <w:name w:val="AnnotationTok"/>
    <w:basedOn w:val="VerbatimChar"/>
    <w:rPr>
      <w:b w:val="1"/>
      <w:i w:val="1"/>
      <w:color w:val="8f5902"/>
      <w:shd w:fill="f8f8f8" w:val="clear"/>
    </w:rPr>
  </w:style>
  <w:style w:type="character" w:styleId="CommentVarTok" w:customStyle="1">
    <w:name w:val="CommentVarTok"/>
    <w:basedOn w:val="VerbatimChar"/>
    <w:rPr>
      <w:b w:val="1"/>
      <w:i w:val="1"/>
      <w:color w:val="8f5902"/>
      <w:shd w:fill="f8f8f8" w:val="clear"/>
    </w:rPr>
  </w:style>
  <w:style w:type="character" w:styleId="OtherTok" w:customStyle="1">
    <w:name w:val="OtherTok"/>
    <w:basedOn w:val="VerbatimChar"/>
    <w:rPr>
      <w:color w:val="8f5902"/>
      <w:shd w:fill="f8f8f8" w:val="clear"/>
    </w:rPr>
  </w:style>
  <w:style w:type="character" w:styleId="FunctionTok" w:customStyle="1">
    <w:name w:val="FunctionTok"/>
    <w:basedOn w:val="VerbatimChar"/>
    <w:rPr>
      <w:b w:val="1"/>
      <w:color w:val="204a87"/>
      <w:shd w:fill="f8f8f8" w:val="clear"/>
    </w:rPr>
  </w:style>
  <w:style w:type="character" w:styleId="VariableTok" w:customStyle="1">
    <w:name w:val="VariableTok"/>
    <w:basedOn w:val="VerbatimChar"/>
    <w:rPr>
      <w:color w:val="000000"/>
      <w:shd w:fill="f8f8f8" w:val="clear"/>
    </w:rPr>
  </w:style>
  <w:style w:type="character" w:styleId="ControlFlowTok" w:customStyle="1">
    <w:name w:val="ControlFlowTok"/>
    <w:basedOn w:val="VerbatimChar"/>
    <w:rPr>
      <w:b w:val="1"/>
      <w:color w:val="204a87"/>
      <w:shd w:fill="f8f8f8" w:val="clear"/>
    </w:rPr>
  </w:style>
  <w:style w:type="character" w:styleId="OperatorTok" w:customStyle="1">
    <w:name w:val="OperatorTok"/>
    <w:basedOn w:val="VerbatimChar"/>
    <w:rPr>
      <w:b w:val="1"/>
      <w:color w:val="ce5c00"/>
      <w:shd w:fill="f8f8f8" w:val="clear"/>
    </w:rPr>
  </w:style>
  <w:style w:type="character" w:styleId="BuiltInTok" w:customStyle="1">
    <w:name w:val="BuiltInTok"/>
    <w:basedOn w:val="VerbatimChar"/>
    <w:rPr>
      <w:shd w:fill="f8f8f8" w:val="clear"/>
    </w:rPr>
  </w:style>
  <w:style w:type="character" w:styleId="ExtensionTok" w:customStyle="1">
    <w:name w:val="ExtensionTok"/>
    <w:basedOn w:val="VerbatimChar"/>
    <w:rPr>
      <w:shd w:fill="f8f8f8" w:val="clear"/>
    </w:rPr>
  </w:style>
  <w:style w:type="character" w:styleId="PreprocessorTok" w:customStyle="1">
    <w:name w:val="PreprocessorTok"/>
    <w:basedOn w:val="VerbatimChar"/>
    <w:rPr>
      <w:i w:val="1"/>
      <w:color w:val="8f5902"/>
      <w:shd w:fill="f8f8f8" w:val="clear"/>
    </w:rPr>
  </w:style>
  <w:style w:type="character" w:styleId="AttributeTok" w:customStyle="1">
    <w:name w:val="AttributeTok"/>
    <w:basedOn w:val="VerbatimChar"/>
    <w:rPr>
      <w:color w:val="204a87"/>
      <w:shd w:fill="f8f8f8" w:val="clear"/>
    </w:rPr>
  </w:style>
  <w:style w:type="character" w:styleId="RegionMarkerTok" w:customStyle="1">
    <w:name w:val="RegionMarkerTok"/>
    <w:basedOn w:val="VerbatimChar"/>
    <w:rPr>
      <w:shd w:fill="f8f8f8" w:val="clear"/>
    </w:rPr>
  </w:style>
  <w:style w:type="character" w:styleId="InformationTok" w:customStyle="1">
    <w:name w:val="InformationTok"/>
    <w:basedOn w:val="VerbatimChar"/>
    <w:rPr>
      <w:b w:val="1"/>
      <w:i w:val="1"/>
      <w:color w:val="8f5902"/>
      <w:shd w:fill="f8f8f8" w:val="clear"/>
    </w:rPr>
  </w:style>
  <w:style w:type="character" w:styleId="WarningTok" w:customStyle="1">
    <w:name w:val="WarningTok"/>
    <w:basedOn w:val="VerbatimChar"/>
    <w:rPr>
      <w:b w:val="1"/>
      <w:i w:val="1"/>
      <w:color w:val="8f5902"/>
      <w:shd w:fill="f8f8f8" w:val="clear"/>
    </w:rPr>
  </w:style>
  <w:style w:type="character" w:styleId="AlertTok" w:customStyle="1">
    <w:name w:val="AlertTok"/>
    <w:basedOn w:val="VerbatimChar"/>
    <w:rPr>
      <w:color w:val="ef2929"/>
      <w:shd w:fill="f8f8f8" w:val="clear"/>
    </w:rPr>
  </w:style>
  <w:style w:type="character" w:styleId="ErrorTok" w:customStyle="1">
    <w:name w:val="ErrorTok"/>
    <w:basedOn w:val="VerbatimChar"/>
    <w:rPr>
      <w:b w:val="1"/>
      <w:color w:val="a40000"/>
      <w:shd w:fill="f8f8f8" w:val="clear"/>
    </w:rPr>
  </w:style>
  <w:style w:type="character" w:styleId="NormalTok" w:customStyle="1">
    <w:name w:val="NormalTok"/>
    <w:basedOn w:val="VerbatimChar"/>
    <w:rPr>
      <w:shd w:fill="f8f8f8" w:val="clear"/>
    </w:rPr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1tq9ZHmm5IYHoiiO3PfBmVD/g==">CgMxLjAaHwoBMBIaChgICVIUChJ0YWJsZS5xMXh2Z2l2bnU0eGkaHwoBMRIaChgICVIUChJ0YWJsZS55c2QxdjQ0cDJyejQaHwoBMhIaChgICVIUChJ0YWJsZS5oNGhnNjQ3ZnFiZzcyDmgueHdhMXp5dG14aWV4Mg5oLmhkZDl1enR1MjQ3ODIOaC50eTJsNW13ZmRrcHgyDWgudzk2ZXh0YjZ3bmgyDmguZGxtYzA0bnBuMThkMg5oLjN5ODkxdHAzYTQ1aTIOaC43djh3bXF4aGp5Nmg4AHIhMWRLczZvVy16YlpHMEQyR1lkUVViUVJNYWhLU2dEQk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2026-03-05T18:05:54Z</dcterms:created>
  <dc:creator>Miguel González-Woge, Marco De La Rosa-Abaroa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date">
    <vt:lpwstr>2026-03-05</vt:lpwstr>
  </property>
  <property fmtid="{D5CDD505-2E9C-101B-9397-08002B2CF9AE}" pid="4" name="output">
    <vt:lpwstr/>
  </property>
</Properties>
</file>