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8B9" w14:textId="77777777" w:rsidR="00C43F31" w:rsidRPr="00602882" w:rsidRDefault="00C43F31" w:rsidP="00C43F31">
      <w:pPr>
        <w:spacing w:line="276" w:lineRule="auto"/>
        <w:rPr>
          <w:rFonts w:asciiTheme="majorHAnsi" w:eastAsia="Times New Roman" w:hAnsiTheme="majorHAnsi" w:cs="Times New Roman"/>
          <w:b/>
          <w:bCs/>
        </w:rPr>
      </w:pPr>
      <w:r w:rsidRPr="00602882">
        <w:rPr>
          <w:rFonts w:asciiTheme="majorHAnsi" w:eastAsia="Times New Roman" w:hAnsiTheme="majorHAnsi" w:cs="Times New Roman"/>
          <w:b/>
          <w:bCs/>
        </w:rPr>
        <w:t>Metabolomic signatures of the steroid biosynthesis driving sex differences in clinical asthma subtypes</w:t>
      </w:r>
    </w:p>
    <w:p w14:paraId="15F7E5B7" w14:textId="77777777" w:rsidR="00634DA0" w:rsidRPr="005B508A" w:rsidRDefault="00634DA0" w:rsidP="00634DA0">
      <w:pPr>
        <w:shd w:val="clear" w:color="auto" w:fill="FFFFFF" w:themeFill="background1"/>
        <w:spacing w:after="0" w:line="276" w:lineRule="auto"/>
        <w:jc w:val="both"/>
        <w:rPr>
          <w:rFonts w:eastAsia="Times New Roman" w:cs="Times New Roman"/>
          <w:color w:val="000000" w:themeColor="text1"/>
        </w:rPr>
      </w:pPr>
      <w:r w:rsidRPr="005B508A">
        <w:rPr>
          <w:rFonts w:eastAsia="Times New Roman" w:cs="Times New Roman"/>
          <w:b/>
          <w:bCs/>
          <w:color w:val="000000" w:themeColor="text1"/>
        </w:rPr>
        <w:t xml:space="preserve">Authors: </w:t>
      </w:r>
      <w:r w:rsidRPr="005B508A">
        <w:rPr>
          <w:rFonts w:eastAsia="Times New Roman" w:cs="Times New Roman"/>
          <w:color w:val="000000" w:themeColor="text1"/>
        </w:rPr>
        <w:t>Gbenga Dairo</w:t>
      </w:r>
      <w:r w:rsidRPr="005B508A">
        <w:rPr>
          <w:rFonts w:eastAsia="Times New Roman" w:cs="Times New Roman"/>
          <w:color w:val="000000" w:themeColor="text1"/>
          <w:vertAlign w:val="superscript"/>
        </w:rPr>
        <w:t>1,2</w:t>
      </w:r>
      <w:r w:rsidRPr="005B508A">
        <w:rPr>
          <w:rFonts w:eastAsia="Times New Roman" w:cs="Times New Roman"/>
          <w:color w:val="000000" w:themeColor="text1"/>
        </w:rPr>
        <w:t xml:space="preserve">, Rinku </w:t>
      </w:r>
      <w:r w:rsidRPr="008C57AF">
        <w:rPr>
          <w:rFonts w:eastAsia="Times New Roman" w:cs="Times New Roman"/>
          <w:color w:val="000000" w:themeColor="text1"/>
        </w:rPr>
        <w:t>Sharma</w:t>
      </w:r>
      <w:r w:rsidRPr="008C57AF">
        <w:rPr>
          <w:rFonts w:eastAsia="Times New Roman" w:cs="Times New Roman"/>
          <w:color w:val="000000" w:themeColor="text1"/>
          <w:vertAlign w:val="superscript"/>
        </w:rPr>
        <w:t>3</w:t>
      </w:r>
      <w:r>
        <w:rPr>
          <w:rFonts w:eastAsia="Times New Roman" w:cs="Times New Roman"/>
          <w:color w:val="000000" w:themeColor="text1"/>
        </w:rPr>
        <w:t xml:space="preserve">, </w:t>
      </w:r>
      <w:r w:rsidRPr="005B508A">
        <w:rPr>
          <w:rFonts w:eastAsia="Times New Roman" w:cs="Times New Roman"/>
          <w:color w:val="000000" w:themeColor="text1"/>
        </w:rPr>
        <w:t xml:space="preserve">Rachel S. </w:t>
      </w:r>
      <w:r w:rsidRPr="008D39FA">
        <w:rPr>
          <w:rFonts w:eastAsia="Times New Roman" w:cs="Times New Roman"/>
          <w:color w:val="000000" w:themeColor="text1"/>
        </w:rPr>
        <w:t>Kelly</w:t>
      </w:r>
      <w:r w:rsidRPr="008D39FA">
        <w:rPr>
          <w:rFonts w:eastAsia="Times New Roman" w:cs="Times New Roman"/>
          <w:color w:val="000000" w:themeColor="text1"/>
          <w:vertAlign w:val="superscript"/>
        </w:rPr>
        <w:t>3</w:t>
      </w:r>
      <w:r>
        <w:rPr>
          <w:rFonts w:eastAsia="Times New Roman" w:cs="Times New Roman"/>
          <w:color w:val="000000" w:themeColor="text1"/>
        </w:rPr>
        <w:t xml:space="preserve">, </w:t>
      </w:r>
      <w:r w:rsidRPr="008D39FA">
        <w:rPr>
          <w:rFonts w:eastAsia="Times New Roman" w:cs="Times New Roman"/>
          <w:color w:val="000000" w:themeColor="text1"/>
        </w:rPr>
        <w:t>Kevin</w:t>
      </w:r>
      <w:r w:rsidRPr="005B508A">
        <w:rPr>
          <w:rFonts w:eastAsia="Times New Roman" w:cs="Times New Roman"/>
          <w:color w:val="000000" w:themeColor="text1"/>
        </w:rPr>
        <w:t xml:space="preserve"> Mendez</w:t>
      </w:r>
      <w:r w:rsidRPr="005B508A">
        <w:rPr>
          <w:rFonts w:eastAsia="Times New Roman" w:cs="Times New Roman"/>
          <w:color w:val="000000" w:themeColor="text1"/>
          <w:vertAlign w:val="superscript"/>
        </w:rPr>
        <w:t>3</w:t>
      </w:r>
      <w:r w:rsidRPr="005B508A">
        <w:rPr>
          <w:rFonts w:eastAsia="Times New Roman" w:cs="Times New Roman"/>
          <w:color w:val="000000" w:themeColor="text1"/>
        </w:rPr>
        <w:t>, Michael J McGeachie</w:t>
      </w:r>
      <w:r w:rsidRPr="005B508A">
        <w:rPr>
          <w:rFonts w:eastAsia="Times New Roman" w:cs="Times New Roman"/>
          <w:color w:val="000000" w:themeColor="text1"/>
          <w:vertAlign w:val="superscript"/>
        </w:rPr>
        <w:t>3</w:t>
      </w:r>
      <w:r w:rsidRPr="005B508A">
        <w:rPr>
          <w:rFonts w:eastAsia="Times New Roman" w:cs="Times New Roman"/>
          <w:color w:val="000000" w:themeColor="text1"/>
        </w:rPr>
        <w:t>, Scott T. Weiss</w:t>
      </w:r>
      <w:r w:rsidRPr="005B508A">
        <w:rPr>
          <w:rFonts w:eastAsia="Times New Roman" w:cs="Times New Roman"/>
          <w:color w:val="000000" w:themeColor="text1"/>
          <w:vertAlign w:val="superscript"/>
        </w:rPr>
        <w:t>3</w:t>
      </w:r>
      <w:r w:rsidRPr="005B508A">
        <w:rPr>
          <w:rFonts w:eastAsia="Times New Roman" w:cs="Times New Roman"/>
          <w:color w:val="000000" w:themeColor="text1"/>
        </w:rPr>
        <w:t>, Jessica Lasky-Su</w:t>
      </w:r>
      <w:r w:rsidRPr="005B508A">
        <w:rPr>
          <w:rFonts w:eastAsia="Times New Roman" w:cs="Times New Roman"/>
          <w:color w:val="000000" w:themeColor="text1"/>
          <w:vertAlign w:val="superscript"/>
        </w:rPr>
        <w:t>3</w:t>
      </w:r>
      <w:r>
        <w:rPr>
          <w:rFonts w:eastAsia="Times New Roman" w:cs="Times New Roman"/>
          <w:color w:val="000000" w:themeColor="text1"/>
          <w:vertAlign w:val="superscript"/>
        </w:rPr>
        <w:t>#</w:t>
      </w:r>
      <w:r w:rsidRPr="005B508A">
        <w:rPr>
          <w:rFonts w:eastAsia="Times New Roman" w:cs="Times New Roman"/>
          <w:color w:val="000000" w:themeColor="text1"/>
        </w:rPr>
        <w:t>, Priyadarshini Kachroo</w:t>
      </w:r>
      <w:r w:rsidRPr="005B508A">
        <w:rPr>
          <w:rFonts w:eastAsia="Times New Roman" w:cs="Times New Roman"/>
          <w:color w:val="000000" w:themeColor="text1"/>
          <w:vertAlign w:val="superscript"/>
        </w:rPr>
        <w:t>2</w:t>
      </w:r>
      <w:r>
        <w:rPr>
          <w:rFonts w:eastAsia="Times New Roman" w:cs="Times New Roman"/>
          <w:color w:val="000000" w:themeColor="text1"/>
          <w:vertAlign w:val="superscript"/>
        </w:rPr>
        <w:t>#</w:t>
      </w:r>
    </w:p>
    <w:p w14:paraId="62344B09" w14:textId="77777777" w:rsidR="00634DA0" w:rsidRPr="005B508A" w:rsidRDefault="00634DA0" w:rsidP="00634DA0">
      <w:pPr>
        <w:shd w:val="clear" w:color="auto" w:fill="FFFFFF" w:themeFill="background1"/>
        <w:spacing w:after="0" w:line="276" w:lineRule="auto"/>
        <w:jc w:val="both"/>
        <w:rPr>
          <w:rFonts w:eastAsia="Times New Roman" w:cs="Times New Roman"/>
          <w:color w:val="000000" w:themeColor="text1"/>
        </w:rPr>
      </w:pPr>
      <w:r w:rsidRPr="005B508A">
        <w:rPr>
          <w:rFonts w:eastAsia="Times New Roman" w:cs="Times New Roman"/>
          <w:b/>
          <w:bCs/>
          <w:color w:val="000000" w:themeColor="text1"/>
        </w:rPr>
        <w:t xml:space="preserve"> </w:t>
      </w:r>
    </w:p>
    <w:p w14:paraId="0B2F82E5" w14:textId="77777777" w:rsidR="00634DA0" w:rsidRPr="005B508A" w:rsidRDefault="00634DA0" w:rsidP="00634DA0">
      <w:pPr>
        <w:shd w:val="clear" w:color="auto" w:fill="FFFFFF" w:themeFill="background1"/>
        <w:spacing w:after="0" w:line="276" w:lineRule="auto"/>
        <w:jc w:val="both"/>
        <w:rPr>
          <w:rFonts w:eastAsia="Times New Roman" w:cs="Times New Roman"/>
          <w:color w:val="000000" w:themeColor="text1"/>
        </w:rPr>
      </w:pPr>
      <w:r w:rsidRPr="005B508A">
        <w:rPr>
          <w:rFonts w:eastAsia="Times New Roman" w:cs="Times New Roman"/>
          <w:color w:val="000000" w:themeColor="text1"/>
          <w:vertAlign w:val="superscript"/>
        </w:rPr>
        <w:t>1</w:t>
      </w:r>
      <w:r w:rsidRPr="005B508A">
        <w:rPr>
          <w:rFonts w:eastAsia="Times New Roman" w:cs="Times New Roman"/>
          <w:color w:val="000000" w:themeColor="text1"/>
        </w:rPr>
        <w:t xml:space="preserve">Institute of Quantitative Biomedicine, </w:t>
      </w:r>
      <w:r w:rsidRPr="00C02893">
        <w:rPr>
          <w:color w:val="000000"/>
        </w:rPr>
        <w:t>Rutgers-The State University of New Jersey</w:t>
      </w:r>
      <w:r w:rsidRPr="005B508A">
        <w:rPr>
          <w:rFonts w:eastAsia="Times New Roman" w:cs="Times New Roman"/>
          <w:color w:val="000000" w:themeColor="text1"/>
        </w:rPr>
        <w:t xml:space="preserve">, New </w:t>
      </w:r>
      <w:r>
        <w:rPr>
          <w:rFonts w:eastAsia="Times New Roman" w:cs="Times New Roman"/>
          <w:color w:val="000000" w:themeColor="text1"/>
        </w:rPr>
        <w:t>Brunswick</w:t>
      </w:r>
      <w:r w:rsidRPr="005B508A">
        <w:rPr>
          <w:rFonts w:eastAsia="Times New Roman" w:cs="Times New Roman"/>
          <w:color w:val="000000" w:themeColor="text1"/>
        </w:rPr>
        <w:t xml:space="preserve">, </w:t>
      </w:r>
      <w:r>
        <w:rPr>
          <w:rFonts w:eastAsia="Times New Roman" w:cs="Times New Roman"/>
          <w:color w:val="000000" w:themeColor="text1"/>
        </w:rPr>
        <w:t>United States</w:t>
      </w:r>
    </w:p>
    <w:p w14:paraId="38BD50E0" w14:textId="77777777" w:rsidR="00634DA0" w:rsidRPr="005B508A" w:rsidRDefault="00634DA0" w:rsidP="00634DA0">
      <w:pPr>
        <w:shd w:val="clear" w:color="auto" w:fill="FFFFFF" w:themeFill="background1"/>
        <w:spacing w:after="0" w:line="276" w:lineRule="auto"/>
        <w:jc w:val="both"/>
        <w:rPr>
          <w:rFonts w:eastAsia="Times New Roman" w:cs="Times New Roman"/>
          <w:color w:val="000000" w:themeColor="text1"/>
        </w:rPr>
      </w:pPr>
      <w:r w:rsidRPr="005B508A">
        <w:rPr>
          <w:rFonts w:eastAsia="Times New Roman" w:cs="Times New Roman"/>
          <w:color w:val="000000" w:themeColor="text1"/>
          <w:vertAlign w:val="superscript"/>
        </w:rPr>
        <w:t>2</w:t>
      </w:r>
      <w:r w:rsidRPr="005B508A">
        <w:rPr>
          <w:rFonts w:eastAsia="Times New Roman" w:cs="Times New Roman"/>
          <w:color w:val="000000" w:themeColor="text1"/>
        </w:rPr>
        <w:t>Department of Health Informatics</w:t>
      </w:r>
      <w:r>
        <w:rPr>
          <w:rFonts w:eastAsia="Times New Roman" w:cs="Times New Roman"/>
          <w:color w:val="000000" w:themeColor="text1"/>
        </w:rPr>
        <w:t xml:space="preserve">, </w:t>
      </w:r>
      <w:r w:rsidRPr="005B508A">
        <w:rPr>
          <w:rFonts w:eastAsia="Times New Roman" w:cs="Times New Roman"/>
          <w:color w:val="000000" w:themeColor="text1"/>
        </w:rPr>
        <w:t xml:space="preserve">Rutgers School of Health Professions, </w:t>
      </w:r>
      <w:r w:rsidRPr="00C02893">
        <w:rPr>
          <w:color w:val="000000"/>
        </w:rPr>
        <w:t>Rutgers-The State University of New Jersey, New</w:t>
      </w:r>
      <w:r>
        <w:rPr>
          <w:color w:val="000000"/>
        </w:rPr>
        <w:t>ark</w:t>
      </w:r>
      <w:r w:rsidRPr="00C02893">
        <w:rPr>
          <w:color w:val="000000"/>
        </w:rPr>
        <w:t>, U</w:t>
      </w:r>
      <w:r>
        <w:rPr>
          <w:color w:val="000000"/>
        </w:rPr>
        <w:t>nited States</w:t>
      </w:r>
    </w:p>
    <w:p w14:paraId="51D4785E" w14:textId="77777777" w:rsidR="00634DA0" w:rsidRPr="005B508A" w:rsidRDefault="00634DA0" w:rsidP="00634DA0">
      <w:pPr>
        <w:shd w:val="clear" w:color="auto" w:fill="FFFFFF" w:themeFill="background1"/>
        <w:spacing w:after="0" w:line="276" w:lineRule="auto"/>
        <w:jc w:val="both"/>
        <w:rPr>
          <w:rFonts w:eastAsia="Times New Roman" w:cs="Times New Roman"/>
          <w:color w:val="000000" w:themeColor="text1"/>
        </w:rPr>
      </w:pPr>
      <w:r w:rsidRPr="005B508A">
        <w:rPr>
          <w:rFonts w:eastAsia="Times New Roman" w:cs="Times New Roman"/>
          <w:color w:val="000000" w:themeColor="text1"/>
          <w:vertAlign w:val="superscript"/>
        </w:rPr>
        <w:t>3</w:t>
      </w:r>
      <w:r w:rsidRPr="005B508A">
        <w:rPr>
          <w:rFonts w:eastAsia="Times New Roman" w:cs="Times New Roman"/>
          <w:color w:val="000000" w:themeColor="text1"/>
        </w:rPr>
        <w:t>Channing Division of Network Medicine, Department of Medicine, Brigham and Women’s Hospital and Harvard Medical School, Boston, M</w:t>
      </w:r>
      <w:r>
        <w:rPr>
          <w:rFonts w:eastAsia="Times New Roman" w:cs="Times New Roman"/>
          <w:color w:val="000000" w:themeColor="text1"/>
        </w:rPr>
        <w:t>assachusetts</w:t>
      </w:r>
      <w:r w:rsidRPr="005B508A">
        <w:rPr>
          <w:rFonts w:eastAsia="Times New Roman" w:cs="Times New Roman"/>
          <w:color w:val="000000" w:themeColor="text1"/>
        </w:rPr>
        <w:t xml:space="preserve">, </w:t>
      </w:r>
      <w:r>
        <w:rPr>
          <w:rFonts w:eastAsia="Times New Roman" w:cs="Times New Roman"/>
          <w:color w:val="000000" w:themeColor="text1"/>
        </w:rPr>
        <w:t>United States</w:t>
      </w:r>
    </w:p>
    <w:p w14:paraId="3BEF7936" w14:textId="77777777" w:rsidR="00634DA0" w:rsidRDefault="00634DA0" w:rsidP="006576A0">
      <w:pPr>
        <w:spacing w:line="276" w:lineRule="auto"/>
        <w:jc w:val="both"/>
        <w:rPr>
          <w:rFonts w:asciiTheme="majorHAnsi" w:hAnsiTheme="majorHAnsi"/>
          <w:b/>
          <w:bCs/>
          <w:color w:val="000000" w:themeColor="text1"/>
        </w:rPr>
      </w:pPr>
    </w:p>
    <w:p w14:paraId="7ED6D6DB" w14:textId="7FF02CB1" w:rsidR="0093234D" w:rsidRPr="00D755FD" w:rsidRDefault="0067656A" w:rsidP="006576A0">
      <w:pPr>
        <w:spacing w:line="276" w:lineRule="auto"/>
        <w:jc w:val="both"/>
        <w:rPr>
          <w:rFonts w:asciiTheme="majorHAnsi" w:hAnsiTheme="majorHAnsi"/>
          <w:b/>
          <w:bCs/>
          <w:color w:val="000000" w:themeColor="text1"/>
        </w:rPr>
      </w:pPr>
      <w:r>
        <w:rPr>
          <w:rFonts w:asciiTheme="majorHAnsi" w:hAnsiTheme="majorHAnsi"/>
          <w:b/>
          <w:bCs/>
          <w:color w:val="000000" w:themeColor="text1"/>
        </w:rPr>
        <w:t xml:space="preserve">Pre-and </w:t>
      </w:r>
      <w:r w:rsidR="00950DDF">
        <w:rPr>
          <w:rFonts w:asciiTheme="majorHAnsi" w:hAnsiTheme="majorHAnsi"/>
          <w:b/>
          <w:bCs/>
          <w:color w:val="000000" w:themeColor="text1"/>
        </w:rPr>
        <w:t>Post-Puberty</w:t>
      </w:r>
      <w:r>
        <w:rPr>
          <w:rFonts w:asciiTheme="majorHAnsi" w:hAnsiTheme="majorHAnsi"/>
          <w:b/>
          <w:bCs/>
          <w:color w:val="000000" w:themeColor="text1"/>
        </w:rPr>
        <w:t xml:space="preserve"> Classification</w:t>
      </w:r>
    </w:p>
    <w:p w14:paraId="2C8615ED" w14:textId="3E1D41D6" w:rsidR="00D766B6" w:rsidRPr="00950DDF" w:rsidRDefault="00CD3BE9" w:rsidP="00F71133">
      <w:pPr>
        <w:spacing w:line="480" w:lineRule="auto"/>
        <w:ind w:firstLine="720"/>
        <w:jc w:val="both"/>
        <w:rPr>
          <w:b/>
          <w:bCs/>
        </w:rPr>
      </w:pPr>
      <w:r w:rsidRPr="00950DDF">
        <w:rPr>
          <w:color w:val="000000" w:themeColor="text1"/>
        </w:rPr>
        <w:t xml:space="preserve">The pubertal stage was approximated using age-based cutoffs informed by developmental literature (Cleveland Clinic, 2024). For females, prepuberty was defined as age &lt;7 years and </w:t>
      </w:r>
      <w:proofErr w:type="spellStart"/>
      <w:r w:rsidRPr="00950DDF">
        <w:rPr>
          <w:color w:val="000000" w:themeColor="text1"/>
        </w:rPr>
        <w:t>postpuberty</w:t>
      </w:r>
      <w:proofErr w:type="spellEnd"/>
      <w:r w:rsidRPr="00950DDF">
        <w:rPr>
          <w:color w:val="000000" w:themeColor="text1"/>
        </w:rPr>
        <w:t xml:space="preserve"> as age &gt;10 years at randomization; ages 8–9.99 years were excluded to minimize misclassification during the transitional phase. For males, corresponding cutoffs were &lt;8 years (prepuberty) and &gt;12 years (</w:t>
      </w:r>
      <w:proofErr w:type="spellStart"/>
      <w:r w:rsidRPr="00950DDF">
        <w:rPr>
          <w:color w:val="000000" w:themeColor="text1"/>
        </w:rPr>
        <w:t>postpuberty</w:t>
      </w:r>
      <w:proofErr w:type="spellEnd"/>
      <w:r w:rsidRPr="00950DDF">
        <w:rPr>
          <w:color w:val="000000" w:themeColor="text1"/>
        </w:rPr>
        <w:t xml:space="preserve">), with ages 9–11 years excluded. These thresholds were selected to maximize the likelihood that participants would remain within the same pubertal category across the 4-year follow-up period. Although this approach was highly stable among males, a small proportion of females who were classified as prepubertal at randomization reached peak pubertal age by Year 4. Notwithstanding, we retained subjects in their randomization-defined stratum to preserve randomization-based classification and avoid post hoc selection bias. This strategy is conservative and may reduce statistical power in certain strata, but ensures consistent stratification anchored to baseline characteristics. </w:t>
      </w:r>
    </w:p>
    <w:p w14:paraId="437DBF3E" w14:textId="77777777" w:rsidR="00D766B6" w:rsidRDefault="00D766B6" w:rsidP="00D755FD">
      <w:pPr>
        <w:spacing w:line="480" w:lineRule="auto"/>
        <w:jc w:val="both"/>
        <w:rPr>
          <w:rFonts w:asciiTheme="majorHAnsi" w:hAnsiTheme="majorHAnsi"/>
          <w:b/>
          <w:bCs/>
        </w:rPr>
      </w:pPr>
    </w:p>
    <w:p w14:paraId="17B5E222" w14:textId="2E34CC34" w:rsidR="008738EA" w:rsidRDefault="000A319A" w:rsidP="00177EC9">
      <w:pPr>
        <w:jc w:val="both"/>
        <w:rPr>
          <w:rFonts w:asciiTheme="majorHAnsi" w:hAnsiTheme="majorHAnsi" w:cs="Arial"/>
        </w:rPr>
      </w:pPr>
      <w:r w:rsidRPr="18C60885">
        <w:rPr>
          <w:rFonts w:asciiTheme="majorHAnsi" w:hAnsiTheme="majorHAnsi"/>
          <w:b/>
          <w:bCs/>
        </w:rPr>
        <w:lastRenderedPageBreak/>
        <w:t>Supplementa</w:t>
      </w:r>
      <w:r w:rsidR="006469F6">
        <w:rPr>
          <w:rFonts w:asciiTheme="majorHAnsi" w:hAnsiTheme="majorHAnsi"/>
          <w:b/>
          <w:bCs/>
        </w:rPr>
        <w:t>ry</w:t>
      </w:r>
      <w:r w:rsidRPr="18C60885">
        <w:rPr>
          <w:rFonts w:asciiTheme="majorHAnsi" w:hAnsiTheme="majorHAnsi"/>
          <w:b/>
          <w:bCs/>
        </w:rPr>
        <w:t xml:space="preserve"> Table 1</w:t>
      </w:r>
      <w:r w:rsidR="00664A7C" w:rsidRPr="18C60885">
        <w:rPr>
          <w:rFonts w:asciiTheme="majorHAnsi" w:hAnsiTheme="majorHAnsi"/>
          <w:b/>
          <w:bCs/>
        </w:rPr>
        <w:t xml:space="preserve">: </w:t>
      </w:r>
      <w:r w:rsidR="00664A7C" w:rsidRPr="18C60885">
        <w:rPr>
          <w:rFonts w:asciiTheme="majorHAnsi" w:hAnsiTheme="majorHAnsi" w:cs="Arial"/>
        </w:rPr>
        <w:t>Characteristics by treatment status for all sex–puberty strata</w:t>
      </w:r>
      <w:r w:rsidR="0052372B">
        <w:rPr>
          <w:rFonts w:asciiTheme="majorHAnsi" w:hAnsiTheme="majorHAnsi" w:cs="Arial"/>
        </w:rPr>
        <w:t>.</w:t>
      </w:r>
    </w:p>
    <w:tbl>
      <w:tblPr>
        <w:tblW w:w="110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160"/>
        <w:gridCol w:w="3330"/>
        <w:gridCol w:w="2610"/>
        <w:gridCol w:w="1800"/>
      </w:tblGrid>
      <w:tr w:rsidR="00CB549A" w:rsidRPr="00CE5A9A" w14:paraId="5E191CBD" w14:textId="77777777" w:rsidTr="001E2FE9">
        <w:trPr>
          <w:trHeight w:val="300"/>
        </w:trPr>
        <w:tc>
          <w:tcPr>
            <w:tcW w:w="1170" w:type="dxa"/>
            <w:noWrap/>
            <w:vAlign w:val="bottom"/>
            <w:hideMark/>
          </w:tcPr>
          <w:p w14:paraId="538B0CF3" w14:textId="77777777" w:rsidR="00CB549A" w:rsidRPr="00CE5A9A" w:rsidRDefault="00CB549A" w:rsidP="001E2FE9">
            <w:pPr>
              <w:spacing w:after="0" w:line="240" w:lineRule="auto"/>
              <w:rPr>
                <w:rFonts w:ascii="Calibri" w:eastAsia="Times New Roman" w:hAnsi="Calibri" w:cs="Calibri"/>
                <w:b/>
                <w:bCs/>
                <w:kern w:val="0"/>
                <w:sz w:val="22"/>
                <w:szCs w:val="22"/>
                <w14:ligatures w14:val="none"/>
              </w:rPr>
            </w:pPr>
            <w:r w:rsidRPr="00CE5A9A">
              <w:rPr>
                <w:rFonts w:ascii="Calibri" w:eastAsia="Times New Roman" w:hAnsi="Calibri" w:cs="Calibri"/>
                <w:b/>
                <w:bCs/>
                <w:kern w:val="0"/>
                <w:sz w:val="22"/>
                <w:szCs w:val="22"/>
                <w14:ligatures w14:val="none"/>
              </w:rPr>
              <w:t>Group</w:t>
            </w:r>
          </w:p>
        </w:tc>
        <w:tc>
          <w:tcPr>
            <w:tcW w:w="2160" w:type="dxa"/>
            <w:noWrap/>
            <w:vAlign w:val="bottom"/>
            <w:hideMark/>
          </w:tcPr>
          <w:p w14:paraId="187CB0AE" w14:textId="77777777" w:rsidR="00CB549A" w:rsidRPr="00CE5A9A" w:rsidRDefault="00CB549A" w:rsidP="001E2FE9">
            <w:pPr>
              <w:spacing w:after="0" w:line="240" w:lineRule="auto"/>
              <w:rPr>
                <w:rFonts w:ascii="Calibri" w:eastAsia="Times New Roman" w:hAnsi="Calibri" w:cs="Calibri"/>
                <w:b/>
                <w:bCs/>
                <w:kern w:val="0"/>
                <w:sz w:val="22"/>
                <w:szCs w:val="22"/>
                <w14:ligatures w14:val="none"/>
              </w:rPr>
            </w:pPr>
            <w:r w:rsidRPr="00CE5A9A">
              <w:rPr>
                <w:rFonts w:ascii="Calibri" w:eastAsia="Times New Roman" w:hAnsi="Calibri" w:cs="Calibri"/>
                <w:b/>
                <w:bCs/>
                <w:kern w:val="0"/>
                <w:sz w:val="22"/>
                <w:szCs w:val="22"/>
                <w14:ligatures w14:val="none"/>
              </w:rPr>
              <w:t>Variable</w:t>
            </w:r>
          </w:p>
        </w:tc>
        <w:tc>
          <w:tcPr>
            <w:tcW w:w="3330" w:type="dxa"/>
            <w:noWrap/>
            <w:vAlign w:val="bottom"/>
            <w:hideMark/>
          </w:tcPr>
          <w:p w14:paraId="0292B3FE" w14:textId="77777777" w:rsidR="00CB549A" w:rsidRPr="00CE5A9A" w:rsidRDefault="00CB549A" w:rsidP="001E2FE9">
            <w:pPr>
              <w:spacing w:after="0" w:line="240" w:lineRule="auto"/>
              <w:rPr>
                <w:rFonts w:ascii="Calibri" w:eastAsia="Times New Roman" w:hAnsi="Calibri" w:cs="Calibri"/>
                <w:b/>
                <w:bCs/>
                <w:kern w:val="0"/>
                <w:sz w:val="22"/>
                <w:szCs w:val="22"/>
                <w14:ligatures w14:val="none"/>
              </w:rPr>
            </w:pPr>
            <w:r w:rsidRPr="00CE5A9A">
              <w:rPr>
                <w:rFonts w:ascii="Calibri" w:eastAsia="Times New Roman" w:hAnsi="Calibri" w:cs="Calibri"/>
                <w:b/>
                <w:bCs/>
                <w:kern w:val="0"/>
                <w:sz w:val="22"/>
                <w:szCs w:val="22"/>
                <w14:ligatures w14:val="none"/>
              </w:rPr>
              <w:t>Overall</w:t>
            </w:r>
          </w:p>
        </w:tc>
        <w:tc>
          <w:tcPr>
            <w:tcW w:w="2610" w:type="dxa"/>
            <w:noWrap/>
            <w:vAlign w:val="bottom"/>
            <w:hideMark/>
          </w:tcPr>
          <w:p w14:paraId="510FD444" w14:textId="77777777" w:rsidR="00CB549A" w:rsidRPr="00CE5A9A" w:rsidRDefault="00CB549A" w:rsidP="001E2FE9">
            <w:pPr>
              <w:spacing w:after="0" w:line="240" w:lineRule="auto"/>
              <w:rPr>
                <w:rFonts w:ascii="Calibri" w:eastAsia="Times New Roman" w:hAnsi="Calibri" w:cs="Calibri"/>
                <w:b/>
                <w:bCs/>
                <w:kern w:val="0"/>
                <w:sz w:val="22"/>
                <w:szCs w:val="22"/>
                <w14:ligatures w14:val="none"/>
              </w:rPr>
            </w:pPr>
            <w:r w:rsidRPr="00CE5A9A">
              <w:rPr>
                <w:rFonts w:ascii="Calibri" w:eastAsia="Times New Roman" w:hAnsi="Calibri" w:cs="Calibri"/>
                <w:b/>
                <w:bCs/>
                <w:kern w:val="0"/>
                <w:sz w:val="22"/>
                <w:szCs w:val="22"/>
                <w14:ligatures w14:val="none"/>
              </w:rPr>
              <w:t>No ICS</w:t>
            </w:r>
          </w:p>
        </w:tc>
        <w:tc>
          <w:tcPr>
            <w:tcW w:w="1800" w:type="dxa"/>
            <w:noWrap/>
            <w:vAlign w:val="bottom"/>
            <w:hideMark/>
          </w:tcPr>
          <w:p w14:paraId="674F08FF" w14:textId="77777777" w:rsidR="00CB549A" w:rsidRPr="00CE5A9A" w:rsidRDefault="00CB549A" w:rsidP="001E2FE9">
            <w:pPr>
              <w:spacing w:after="0" w:line="240" w:lineRule="auto"/>
              <w:rPr>
                <w:rFonts w:ascii="Calibri" w:eastAsia="Times New Roman" w:hAnsi="Calibri" w:cs="Calibri"/>
                <w:b/>
                <w:bCs/>
                <w:kern w:val="0"/>
                <w:sz w:val="22"/>
                <w:szCs w:val="22"/>
                <w14:ligatures w14:val="none"/>
              </w:rPr>
            </w:pPr>
            <w:r w:rsidRPr="00CE5A9A">
              <w:rPr>
                <w:rFonts w:ascii="Calibri" w:eastAsia="Times New Roman" w:hAnsi="Calibri" w:cs="Calibri"/>
                <w:b/>
                <w:bCs/>
                <w:kern w:val="0"/>
                <w:sz w:val="22"/>
                <w:szCs w:val="22"/>
                <w14:ligatures w14:val="none"/>
              </w:rPr>
              <w:t>ICS</w:t>
            </w:r>
          </w:p>
        </w:tc>
      </w:tr>
      <w:tr w:rsidR="00CB549A" w:rsidRPr="00CE5A9A" w14:paraId="28C696CA" w14:textId="77777777" w:rsidTr="001E2FE9">
        <w:trPr>
          <w:trHeight w:val="300"/>
        </w:trPr>
        <w:tc>
          <w:tcPr>
            <w:tcW w:w="1170" w:type="dxa"/>
            <w:vMerge w:val="restart"/>
            <w:noWrap/>
            <w:vAlign w:val="center"/>
            <w:hideMark/>
          </w:tcPr>
          <w:p w14:paraId="0470736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Pre-Puberty (Baseline)</w:t>
            </w:r>
          </w:p>
        </w:tc>
        <w:tc>
          <w:tcPr>
            <w:tcW w:w="2160" w:type="dxa"/>
            <w:noWrap/>
            <w:vAlign w:val="bottom"/>
            <w:hideMark/>
          </w:tcPr>
          <w:p w14:paraId="6907E9B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6F9F081F"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139</w:t>
            </w:r>
          </w:p>
        </w:tc>
        <w:tc>
          <w:tcPr>
            <w:tcW w:w="2610" w:type="dxa"/>
            <w:noWrap/>
            <w:vAlign w:val="bottom"/>
            <w:hideMark/>
          </w:tcPr>
          <w:p w14:paraId="43076EE5"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115</w:t>
            </w:r>
          </w:p>
        </w:tc>
        <w:tc>
          <w:tcPr>
            <w:tcW w:w="1800" w:type="dxa"/>
            <w:noWrap/>
            <w:vAlign w:val="bottom"/>
            <w:hideMark/>
          </w:tcPr>
          <w:p w14:paraId="0F3614BF"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w:t>
            </w:r>
          </w:p>
        </w:tc>
      </w:tr>
      <w:tr w:rsidR="00CB549A" w:rsidRPr="00CE5A9A" w14:paraId="038793AD" w14:textId="77777777" w:rsidTr="001E2FE9">
        <w:trPr>
          <w:trHeight w:val="300"/>
        </w:trPr>
        <w:tc>
          <w:tcPr>
            <w:tcW w:w="1170" w:type="dxa"/>
            <w:vMerge/>
            <w:vAlign w:val="center"/>
            <w:hideMark/>
          </w:tcPr>
          <w:p w14:paraId="65938E1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68BEBF8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78C585B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2610" w:type="dxa"/>
            <w:noWrap/>
            <w:vAlign w:val="bottom"/>
            <w:hideMark/>
          </w:tcPr>
          <w:p w14:paraId="4CA78CC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1800" w:type="dxa"/>
            <w:noWrap/>
            <w:vAlign w:val="bottom"/>
            <w:hideMark/>
          </w:tcPr>
          <w:p w14:paraId="52CFA8B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6.5</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r>
      <w:tr w:rsidR="00CB549A" w:rsidRPr="00CE5A9A" w14:paraId="67E689EF" w14:textId="77777777" w:rsidTr="001E2FE9">
        <w:trPr>
          <w:trHeight w:val="300"/>
        </w:trPr>
        <w:tc>
          <w:tcPr>
            <w:tcW w:w="1170" w:type="dxa"/>
            <w:vMerge/>
            <w:vAlign w:val="center"/>
            <w:hideMark/>
          </w:tcPr>
          <w:p w14:paraId="0339139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3FB2379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330C6A1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16.7 ± 2.3</w:t>
            </w:r>
          </w:p>
        </w:tc>
        <w:tc>
          <w:tcPr>
            <w:tcW w:w="2610" w:type="dxa"/>
            <w:noWrap/>
            <w:vAlign w:val="bottom"/>
            <w:hideMark/>
          </w:tcPr>
          <w:p w14:paraId="7E4FB07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16.5 ± 2.3</w:t>
            </w:r>
          </w:p>
        </w:tc>
        <w:tc>
          <w:tcPr>
            <w:tcW w:w="1800" w:type="dxa"/>
            <w:noWrap/>
            <w:vAlign w:val="bottom"/>
            <w:hideMark/>
          </w:tcPr>
          <w:p w14:paraId="52321F4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17.3 ± 2.2</w:t>
            </w:r>
          </w:p>
        </w:tc>
      </w:tr>
      <w:tr w:rsidR="00CB549A" w:rsidRPr="00CE5A9A" w14:paraId="00DD8751" w14:textId="77777777" w:rsidTr="001E2FE9">
        <w:trPr>
          <w:trHeight w:val="300"/>
        </w:trPr>
        <w:tc>
          <w:tcPr>
            <w:tcW w:w="1170" w:type="dxa"/>
            <w:vMerge/>
            <w:vAlign w:val="center"/>
            <w:hideMark/>
          </w:tcPr>
          <w:p w14:paraId="124676E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344D71E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1A16DAB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139 (100.0%)</w:t>
            </w:r>
          </w:p>
        </w:tc>
        <w:tc>
          <w:tcPr>
            <w:tcW w:w="2610" w:type="dxa"/>
            <w:noWrap/>
            <w:vAlign w:val="bottom"/>
            <w:hideMark/>
          </w:tcPr>
          <w:p w14:paraId="79D29D9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115 (100.0%)</w:t>
            </w:r>
          </w:p>
        </w:tc>
        <w:tc>
          <w:tcPr>
            <w:tcW w:w="1800" w:type="dxa"/>
            <w:noWrap/>
            <w:vAlign w:val="bottom"/>
            <w:hideMark/>
          </w:tcPr>
          <w:p w14:paraId="1FF4794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24 (100.0%)</w:t>
            </w:r>
          </w:p>
        </w:tc>
      </w:tr>
      <w:tr w:rsidR="00CB549A" w:rsidRPr="00CE5A9A" w14:paraId="7FBBF3B7" w14:textId="77777777" w:rsidTr="001E2FE9">
        <w:trPr>
          <w:trHeight w:val="300"/>
        </w:trPr>
        <w:tc>
          <w:tcPr>
            <w:tcW w:w="1170" w:type="dxa"/>
            <w:vMerge/>
            <w:vAlign w:val="center"/>
            <w:hideMark/>
          </w:tcPr>
          <w:p w14:paraId="4D9CDED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161D51E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7DDB8C3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14 (10.1%); Hispanic: 12 (8.6%); Other: 11 (7.9%); White: 102 (73.4%)</w:t>
            </w:r>
          </w:p>
        </w:tc>
        <w:tc>
          <w:tcPr>
            <w:tcW w:w="2610" w:type="dxa"/>
            <w:noWrap/>
            <w:vAlign w:val="bottom"/>
            <w:hideMark/>
          </w:tcPr>
          <w:p w14:paraId="6A9E110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12 (10.4%); Hispanic: 9 (7.8%); Other: 7 (6.1%); White: 87 (75.7%)</w:t>
            </w:r>
          </w:p>
        </w:tc>
        <w:tc>
          <w:tcPr>
            <w:tcW w:w="1800" w:type="dxa"/>
            <w:noWrap/>
            <w:vAlign w:val="bottom"/>
            <w:hideMark/>
          </w:tcPr>
          <w:p w14:paraId="4CFF786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2 (8.3%); Hispanic: 3 (12.5%); Other: 4 (16.7%); White: 15 (62.5%)</w:t>
            </w:r>
          </w:p>
        </w:tc>
      </w:tr>
      <w:tr w:rsidR="00CB549A" w:rsidRPr="00CE5A9A" w14:paraId="3FECF4D6" w14:textId="77777777" w:rsidTr="001E2FE9">
        <w:trPr>
          <w:trHeight w:val="300"/>
        </w:trPr>
        <w:tc>
          <w:tcPr>
            <w:tcW w:w="1170" w:type="dxa"/>
            <w:vMerge w:val="restart"/>
            <w:noWrap/>
            <w:vAlign w:val="center"/>
            <w:hideMark/>
          </w:tcPr>
          <w:p w14:paraId="6881B8E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Pre-Puberty (Year 4)</w:t>
            </w:r>
          </w:p>
        </w:tc>
        <w:tc>
          <w:tcPr>
            <w:tcW w:w="2160" w:type="dxa"/>
            <w:noWrap/>
            <w:vAlign w:val="bottom"/>
            <w:hideMark/>
          </w:tcPr>
          <w:p w14:paraId="53A0494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4727A87E"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141</w:t>
            </w:r>
          </w:p>
        </w:tc>
        <w:tc>
          <w:tcPr>
            <w:tcW w:w="2610" w:type="dxa"/>
            <w:noWrap/>
            <w:vAlign w:val="bottom"/>
            <w:hideMark/>
          </w:tcPr>
          <w:p w14:paraId="5777CE1A"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117</w:t>
            </w:r>
          </w:p>
        </w:tc>
        <w:tc>
          <w:tcPr>
            <w:tcW w:w="1800" w:type="dxa"/>
            <w:noWrap/>
            <w:vAlign w:val="bottom"/>
            <w:hideMark/>
          </w:tcPr>
          <w:p w14:paraId="2A2A9D9A"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w:t>
            </w:r>
          </w:p>
        </w:tc>
      </w:tr>
      <w:tr w:rsidR="00CB549A" w:rsidRPr="00CE5A9A" w14:paraId="3CE13721" w14:textId="77777777" w:rsidTr="001E2FE9">
        <w:trPr>
          <w:trHeight w:val="300"/>
        </w:trPr>
        <w:tc>
          <w:tcPr>
            <w:tcW w:w="1170" w:type="dxa"/>
            <w:vMerge/>
            <w:vAlign w:val="center"/>
            <w:hideMark/>
          </w:tcPr>
          <w:p w14:paraId="0079920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52E4F48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3485F04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2610" w:type="dxa"/>
            <w:noWrap/>
            <w:vAlign w:val="bottom"/>
            <w:hideMark/>
          </w:tcPr>
          <w:p w14:paraId="115ED3A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1800" w:type="dxa"/>
            <w:noWrap/>
            <w:vAlign w:val="bottom"/>
            <w:hideMark/>
          </w:tcPr>
          <w:p w14:paraId="7DEB09B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r>
      <w:tr w:rsidR="00CB549A" w:rsidRPr="00CE5A9A" w14:paraId="396A656D" w14:textId="77777777" w:rsidTr="001E2FE9">
        <w:trPr>
          <w:trHeight w:val="300"/>
        </w:trPr>
        <w:tc>
          <w:tcPr>
            <w:tcW w:w="1170" w:type="dxa"/>
            <w:vMerge/>
            <w:vAlign w:val="center"/>
            <w:hideMark/>
          </w:tcPr>
          <w:p w14:paraId="270CD1E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31DDF18C"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2A88652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19.4 ± 3.8</w:t>
            </w:r>
          </w:p>
        </w:tc>
        <w:tc>
          <w:tcPr>
            <w:tcW w:w="2610" w:type="dxa"/>
            <w:noWrap/>
            <w:vAlign w:val="bottom"/>
            <w:hideMark/>
          </w:tcPr>
          <w:p w14:paraId="4D9D1BC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19.3 ± 3.8</w:t>
            </w:r>
          </w:p>
        </w:tc>
        <w:tc>
          <w:tcPr>
            <w:tcW w:w="1800" w:type="dxa"/>
            <w:noWrap/>
            <w:vAlign w:val="bottom"/>
            <w:hideMark/>
          </w:tcPr>
          <w:p w14:paraId="1F3E706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20.3 ± 3.7</w:t>
            </w:r>
          </w:p>
        </w:tc>
      </w:tr>
      <w:tr w:rsidR="00CB549A" w:rsidRPr="00CE5A9A" w14:paraId="32280F06" w14:textId="77777777" w:rsidTr="001E2FE9">
        <w:trPr>
          <w:trHeight w:val="300"/>
        </w:trPr>
        <w:tc>
          <w:tcPr>
            <w:tcW w:w="1170" w:type="dxa"/>
            <w:vMerge/>
            <w:vAlign w:val="center"/>
            <w:hideMark/>
          </w:tcPr>
          <w:p w14:paraId="41C1C9C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4267E16A"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263F89D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141 (100.0%)</w:t>
            </w:r>
          </w:p>
        </w:tc>
        <w:tc>
          <w:tcPr>
            <w:tcW w:w="2610" w:type="dxa"/>
            <w:noWrap/>
            <w:vAlign w:val="bottom"/>
            <w:hideMark/>
          </w:tcPr>
          <w:p w14:paraId="6E97808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117 (100.0%)</w:t>
            </w:r>
          </w:p>
        </w:tc>
        <w:tc>
          <w:tcPr>
            <w:tcW w:w="1800" w:type="dxa"/>
            <w:noWrap/>
            <w:vAlign w:val="bottom"/>
            <w:hideMark/>
          </w:tcPr>
          <w:p w14:paraId="452B88B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24 (100.0%)</w:t>
            </w:r>
          </w:p>
        </w:tc>
      </w:tr>
      <w:tr w:rsidR="00CB549A" w:rsidRPr="00CE5A9A" w14:paraId="61B4E5E0" w14:textId="77777777" w:rsidTr="001E2FE9">
        <w:trPr>
          <w:trHeight w:val="300"/>
        </w:trPr>
        <w:tc>
          <w:tcPr>
            <w:tcW w:w="1170" w:type="dxa"/>
            <w:vMerge/>
            <w:vAlign w:val="center"/>
            <w:hideMark/>
          </w:tcPr>
          <w:p w14:paraId="45D5246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1CE291B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3AFCA41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14 (9.9%); Hispanic: 12 (8.5%); Other: 10 (7.1%); White: 105 (74.5%)</w:t>
            </w:r>
          </w:p>
        </w:tc>
        <w:tc>
          <w:tcPr>
            <w:tcW w:w="2610" w:type="dxa"/>
            <w:noWrap/>
            <w:vAlign w:val="bottom"/>
            <w:hideMark/>
          </w:tcPr>
          <w:p w14:paraId="09310B2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12 (10.3%); Hispanic: 9 (7.7%); Other: 7 (6.0%); White: 89 (76.1%)</w:t>
            </w:r>
          </w:p>
        </w:tc>
        <w:tc>
          <w:tcPr>
            <w:tcW w:w="1800" w:type="dxa"/>
            <w:noWrap/>
            <w:vAlign w:val="bottom"/>
            <w:hideMark/>
          </w:tcPr>
          <w:p w14:paraId="3985EBD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2 (8.3%); Hispanic: 3 (12.5%); Other: 3 (12.5%); White: 16 (66.7%)</w:t>
            </w:r>
          </w:p>
        </w:tc>
      </w:tr>
      <w:tr w:rsidR="00CB549A" w:rsidRPr="00CE5A9A" w14:paraId="58572BB3" w14:textId="77777777" w:rsidTr="001E2FE9">
        <w:trPr>
          <w:trHeight w:val="300"/>
        </w:trPr>
        <w:tc>
          <w:tcPr>
            <w:tcW w:w="1170" w:type="dxa"/>
            <w:vMerge w:val="restart"/>
            <w:noWrap/>
            <w:vAlign w:val="center"/>
            <w:hideMark/>
          </w:tcPr>
          <w:p w14:paraId="73E3B59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Post-Puberty (Baseline)</w:t>
            </w:r>
          </w:p>
        </w:tc>
        <w:tc>
          <w:tcPr>
            <w:tcW w:w="2160" w:type="dxa"/>
            <w:noWrap/>
            <w:vAlign w:val="bottom"/>
            <w:hideMark/>
          </w:tcPr>
          <w:p w14:paraId="01BB2FD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05260812"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41</w:t>
            </w:r>
          </w:p>
        </w:tc>
        <w:tc>
          <w:tcPr>
            <w:tcW w:w="2610" w:type="dxa"/>
            <w:noWrap/>
            <w:vAlign w:val="bottom"/>
            <w:hideMark/>
          </w:tcPr>
          <w:p w14:paraId="1F10554A"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33</w:t>
            </w:r>
          </w:p>
        </w:tc>
        <w:tc>
          <w:tcPr>
            <w:tcW w:w="1800" w:type="dxa"/>
            <w:noWrap/>
            <w:vAlign w:val="bottom"/>
            <w:hideMark/>
          </w:tcPr>
          <w:p w14:paraId="50A4AB94"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8</w:t>
            </w:r>
          </w:p>
        </w:tc>
      </w:tr>
      <w:tr w:rsidR="00CB549A" w:rsidRPr="00CE5A9A" w14:paraId="5FBDC7E2" w14:textId="77777777" w:rsidTr="001E2FE9">
        <w:trPr>
          <w:trHeight w:val="300"/>
        </w:trPr>
        <w:tc>
          <w:tcPr>
            <w:tcW w:w="1170" w:type="dxa"/>
            <w:vMerge/>
            <w:vAlign w:val="center"/>
            <w:hideMark/>
          </w:tcPr>
          <w:p w14:paraId="2334513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291B6C2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1C10626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3</w:t>
            </w:r>
          </w:p>
        </w:tc>
        <w:tc>
          <w:tcPr>
            <w:tcW w:w="2610" w:type="dxa"/>
            <w:noWrap/>
            <w:vAlign w:val="bottom"/>
            <w:hideMark/>
          </w:tcPr>
          <w:p w14:paraId="3B9C655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3</w:t>
            </w:r>
          </w:p>
        </w:tc>
        <w:tc>
          <w:tcPr>
            <w:tcW w:w="1800" w:type="dxa"/>
            <w:noWrap/>
            <w:vAlign w:val="bottom"/>
            <w:hideMark/>
          </w:tcPr>
          <w:p w14:paraId="79E84C2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4</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4</w:t>
            </w:r>
          </w:p>
        </w:tc>
      </w:tr>
      <w:tr w:rsidR="00CB549A" w:rsidRPr="00CE5A9A" w14:paraId="7122F4F1" w14:textId="77777777" w:rsidTr="001E2FE9">
        <w:trPr>
          <w:trHeight w:val="300"/>
        </w:trPr>
        <w:tc>
          <w:tcPr>
            <w:tcW w:w="1170" w:type="dxa"/>
            <w:vMerge/>
            <w:vAlign w:val="center"/>
            <w:hideMark/>
          </w:tcPr>
          <w:p w14:paraId="0EAA1BF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2EFFBE0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2429F09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20.6 ± 3.4</w:t>
            </w:r>
          </w:p>
        </w:tc>
        <w:tc>
          <w:tcPr>
            <w:tcW w:w="2610" w:type="dxa"/>
            <w:noWrap/>
            <w:vAlign w:val="bottom"/>
            <w:hideMark/>
          </w:tcPr>
          <w:p w14:paraId="77FF360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20.0 ± 3.2</w:t>
            </w:r>
          </w:p>
        </w:tc>
        <w:tc>
          <w:tcPr>
            <w:tcW w:w="1800" w:type="dxa"/>
            <w:noWrap/>
            <w:vAlign w:val="bottom"/>
            <w:hideMark/>
          </w:tcPr>
          <w:p w14:paraId="14C8A9B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23.0 ± 3.3</w:t>
            </w:r>
          </w:p>
        </w:tc>
      </w:tr>
      <w:tr w:rsidR="00CB549A" w:rsidRPr="00CE5A9A" w14:paraId="51D06B4E" w14:textId="77777777" w:rsidTr="001E2FE9">
        <w:trPr>
          <w:trHeight w:val="300"/>
        </w:trPr>
        <w:tc>
          <w:tcPr>
            <w:tcW w:w="1170" w:type="dxa"/>
            <w:vMerge/>
            <w:vAlign w:val="center"/>
            <w:hideMark/>
          </w:tcPr>
          <w:p w14:paraId="651BB53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7304D06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1ABB16AC"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41 (100.0%)</w:t>
            </w:r>
          </w:p>
        </w:tc>
        <w:tc>
          <w:tcPr>
            <w:tcW w:w="2610" w:type="dxa"/>
            <w:noWrap/>
            <w:vAlign w:val="bottom"/>
            <w:hideMark/>
          </w:tcPr>
          <w:p w14:paraId="16617A8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33 (100.0%)</w:t>
            </w:r>
          </w:p>
        </w:tc>
        <w:tc>
          <w:tcPr>
            <w:tcW w:w="1800" w:type="dxa"/>
            <w:noWrap/>
            <w:vAlign w:val="bottom"/>
            <w:hideMark/>
          </w:tcPr>
          <w:p w14:paraId="34A5A5A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8 (100.0%)</w:t>
            </w:r>
          </w:p>
        </w:tc>
      </w:tr>
      <w:tr w:rsidR="00CB549A" w:rsidRPr="00CE5A9A" w14:paraId="796B4B42" w14:textId="77777777" w:rsidTr="001E2FE9">
        <w:trPr>
          <w:trHeight w:val="300"/>
        </w:trPr>
        <w:tc>
          <w:tcPr>
            <w:tcW w:w="1170" w:type="dxa"/>
            <w:vMerge/>
            <w:vAlign w:val="center"/>
            <w:hideMark/>
          </w:tcPr>
          <w:p w14:paraId="43B16A4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0847D31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46798E9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5 (12.2%); Hispanic: 9 (22.0%); Other: 4 (9.8%); White: 23 (56.1%)</w:t>
            </w:r>
          </w:p>
        </w:tc>
        <w:tc>
          <w:tcPr>
            <w:tcW w:w="2610" w:type="dxa"/>
            <w:noWrap/>
            <w:vAlign w:val="bottom"/>
            <w:hideMark/>
          </w:tcPr>
          <w:p w14:paraId="405F248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4 (12.1%); Hispanic: 4 (12.1%); Other: 3 (9.1%); White: 22 (66.7%)</w:t>
            </w:r>
          </w:p>
        </w:tc>
        <w:tc>
          <w:tcPr>
            <w:tcW w:w="1800" w:type="dxa"/>
            <w:noWrap/>
            <w:vAlign w:val="bottom"/>
            <w:hideMark/>
          </w:tcPr>
          <w:p w14:paraId="1D08E5F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 (12.5%); Hispanic: 5 (62.5%); Other: 1 (12.5%); White: 1 (12.5%)</w:t>
            </w:r>
          </w:p>
        </w:tc>
      </w:tr>
      <w:tr w:rsidR="00CB549A" w:rsidRPr="00CE5A9A" w14:paraId="5CA0119D" w14:textId="77777777" w:rsidTr="001E2FE9">
        <w:trPr>
          <w:trHeight w:val="300"/>
        </w:trPr>
        <w:tc>
          <w:tcPr>
            <w:tcW w:w="1170" w:type="dxa"/>
            <w:vMerge w:val="restart"/>
            <w:noWrap/>
            <w:vAlign w:val="center"/>
            <w:hideMark/>
          </w:tcPr>
          <w:p w14:paraId="24331FF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Post-</w:t>
            </w:r>
            <w:r w:rsidRPr="00CE5A9A">
              <w:rPr>
                <w:rFonts w:ascii="Calibri" w:eastAsia="Times New Roman" w:hAnsi="Calibri" w:cs="Calibri"/>
                <w:kern w:val="0"/>
                <w:sz w:val="22"/>
                <w:szCs w:val="22"/>
                <w14:ligatures w14:val="none"/>
              </w:rPr>
              <w:lastRenderedPageBreak/>
              <w:t>Puberty (Year 4)</w:t>
            </w:r>
          </w:p>
        </w:tc>
        <w:tc>
          <w:tcPr>
            <w:tcW w:w="2160" w:type="dxa"/>
            <w:noWrap/>
            <w:vAlign w:val="bottom"/>
            <w:hideMark/>
          </w:tcPr>
          <w:p w14:paraId="585DD2F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lastRenderedPageBreak/>
              <w:t>N</w:t>
            </w:r>
          </w:p>
        </w:tc>
        <w:tc>
          <w:tcPr>
            <w:tcW w:w="3330" w:type="dxa"/>
            <w:noWrap/>
            <w:vAlign w:val="bottom"/>
            <w:hideMark/>
          </w:tcPr>
          <w:p w14:paraId="227258B2"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41</w:t>
            </w:r>
          </w:p>
        </w:tc>
        <w:tc>
          <w:tcPr>
            <w:tcW w:w="2610" w:type="dxa"/>
            <w:noWrap/>
            <w:vAlign w:val="bottom"/>
            <w:hideMark/>
          </w:tcPr>
          <w:p w14:paraId="17C162C8"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33</w:t>
            </w:r>
          </w:p>
        </w:tc>
        <w:tc>
          <w:tcPr>
            <w:tcW w:w="1800" w:type="dxa"/>
            <w:noWrap/>
            <w:vAlign w:val="bottom"/>
            <w:hideMark/>
          </w:tcPr>
          <w:p w14:paraId="70F75C62"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8</w:t>
            </w:r>
          </w:p>
        </w:tc>
      </w:tr>
      <w:tr w:rsidR="00CB549A" w:rsidRPr="00CE5A9A" w14:paraId="3BBC9706" w14:textId="77777777" w:rsidTr="001E2FE9">
        <w:trPr>
          <w:trHeight w:val="300"/>
        </w:trPr>
        <w:tc>
          <w:tcPr>
            <w:tcW w:w="1170" w:type="dxa"/>
            <w:vMerge/>
            <w:vAlign w:val="center"/>
            <w:hideMark/>
          </w:tcPr>
          <w:p w14:paraId="03D0912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735E165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7B8C84E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3</w:t>
            </w:r>
          </w:p>
        </w:tc>
        <w:tc>
          <w:tcPr>
            <w:tcW w:w="2610" w:type="dxa"/>
            <w:noWrap/>
            <w:vAlign w:val="bottom"/>
            <w:hideMark/>
          </w:tcPr>
          <w:p w14:paraId="58D4C9F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2.6</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3</w:t>
            </w:r>
          </w:p>
        </w:tc>
        <w:tc>
          <w:tcPr>
            <w:tcW w:w="1800" w:type="dxa"/>
            <w:noWrap/>
            <w:vAlign w:val="bottom"/>
            <w:hideMark/>
          </w:tcPr>
          <w:p w14:paraId="765526C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2</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5</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4</w:t>
            </w:r>
          </w:p>
        </w:tc>
      </w:tr>
      <w:tr w:rsidR="00CB549A" w:rsidRPr="00CE5A9A" w14:paraId="3D8A8168" w14:textId="77777777" w:rsidTr="001E2FE9">
        <w:trPr>
          <w:trHeight w:val="300"/>
        </w:trPr>
        <w:tc>
          <w:tcPr>
            <w:tcW w:w="1170" w:type="dxa"/>
            <w:vMerge/>
            <w:vAlign w:val="center"/>
            <w:hideMark/>
          </w:tcPr>
          <w:p w14:paraId="4CFAA40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4672D0F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3DC797A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22.6 ± 3.3</w:t>
            </w:r>
          </w:p>
        </w:tc>
        <w:tc>
          <w:tcPr>
            <w:tcW w:w="2610" w:type="dxa"/>
            <w:noWrap/>
            <w:vAlign w:val="bottom"/>
            <w:hideMark/>
          </w:tcPr>
          <w:p w14:paraId="2D12C30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22.2 ± 3.1</w:t>
            </w:r>
          </w:p>
        </w:tc>
        <w:tc>
          <w:tcPr>
            <w:tcW w:w="1800" w:type="dxa"/>
            <w:noWrap/>
            <w:vAlign w:val="bottom"/>
            <w:hideMark/>
          </w:tcPr>
          <w:p w14:paraId="43D0D50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24.4 ± 3.5</w:t>
            </w:r>
          </w:p>
        </w:tc>
      </w:tr>
      <w:tr w:rsidR="00CB549A" w:rsidRPr="00CE5A9A" w14:paraId="4D20D209" w14:textId="77777777" w:rsidTr="001E2FE9">
        <w:trPr>
          <w:trHeight w:val="300"/>
        </w:trPr>
        <w:tc>
          <w:tcPr>
            <w:tcW w:w="1170" w:type="dxa"/>
            <w:vMerge/>
            <w:vAlign w:val="center"/>
            <w:hideMark/>
          </w:tcPr>
          <w:p w14:paraId="05934E4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7F2E7E9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35BB324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41 (100.0%)</w:t>
            </w:r>
          </w:p>
        </w:tc>
        <w:tc>
          <w:tcPr>
            <w:tcW w:w="2610" w:type="dxa"/>
            <w:noWrap/>
            <w:vAlign w:val="bottom"/>
            <w:hideMark/>
          </w:tcPr>
          <w:p w14:paraId="6985D73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33 (100.0%)</w:t>
            </w:r>
          </w:p>
        </w:tc>
        <w:tc>
          <w:tcPr>
            <w:tcW w:w="1800" w:type="dxa"/>
            <w:noWrap/>
            <w:vAlign w:val="bottom"/>
            <w:hideMark/>
          </w:tcPr>
          <w:p w14:paraId="4E9F377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Male: 8 (100.0%)</w:t>
            </w:r>
          </w:p>
        </w:tc>
      </w:tr>
      <w:tr w:rsidR="00CB549A" w:rsidRPr="00CE5A9A" w14:paraId="3EEC7650" w14:textId="77777777" w:rsidTr="001E2FE9">
        <w:trPr>
          <w:trHeight w:val="300"/>
        </w:trPr>
        <w:tc>
          <w:tcPr>
            <w:tcW w:w="1170" w:type="dxa"/>
            <w:vMerge/>
            <w:vAlign w:val="center"/>
            <w:hideMark/>
          </w:tcPr>
          <w:p w14:paraId="7F26875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04243B2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7CFD1EF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4 (9.8%); Hispanic: 9 (22.0%); Other: 4 (9.8%); White: 24 (58.5%)</w:t>
            </w:r>
          </w:p>
        </w:tc>
        <w:tc>
          <w:tcPr>
            <w:tcW w:w="2610" w:type="dxa"/>
            <w:noWrap/>
            <w:vAlign w:val="bottom"/>
            <w:hideMark/>
          </w:tcPr>
          <w:p w14:paraId="159958C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3 (9.1%); Hispanic: 4 (12.1%); Other: 4 (12.1%); White: 22 (66.7%)</w:t>
            </w:r>
          </w:p>
        </w:tc>
        <w:tc>
          <w:tcPr>
            <w:tcW w:w="1800" w:type="dxa"/>
            <w:noWrap/>
            <w:vAlign w:val="bottom"/>
            <w:hideMark/>
          </w:tcPr>
          <w:p w14:paraId="36F0620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 (12.5%); Hispanic: 5 (62.5%); White: 2 (25.0%)</w:t>
            </w:r>
          </w:p>
        </w:tc>
      </w:tr>
      <w:tr w:rsidR="00CB549A" w:rsidRPr="00CE5A9A" w14:paraId="4F68CD57" w14:textId="77777777" w:rsidTr="001E2FE9">
        <w:trPr>
          <w:trHeight w:val="300"/>
        </w:trPr>
        <w:tc>
          <w:tcPr>
            <w:tcW w:w="1170" w:type="dxa"/>
            <w:vMerge w:val="restart"/>
            <w:noWrap/>
            <w:vAlign w:val="center"/>
            <w:hideMark/>
          </w:tcPr>
          <w:p w14:paraId="1083AC8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Pre-Puberty (Baseline)</w:t>
            </w:r>
          </w:p>
        </w:tc>
        <w:tc>
          <w:tcPr>
            <w:tcW w:w="2160" w:type="dxa"/>
            <w:noWrap/>
            <w:vAlign w:val="bottom"/>
            <w:hideMark/>
          </w:tcPr>
          <w:p w14:paraId="267DE21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4656CD7E"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52</w:t>
            </w:r>
          </w:p>
        </w:tc>
        <w:tc>
          <w:tcPr>
            <w:tcW w:w="2610" w:type="dxa"/>
            <w:noWrap/>
            <w:vAlign w:val="bottom"/>
            <w:hideMark/>
          </w:tcPr>
          <w:p w14:paraId="0B162568"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46</w:t>
            </w:r>
          </w:p>
        </w:tc>
        <w:tc>
          <w:tcPr>
            <w:tcW w:w="1800" w:type="dxa"/>
            <w:noWrap/>
            <w:vAlign w:val="bottom"/>
            <w:hideMark/>
          </w:tcPr>
          <w:p w14:paraId="6BA5B6F5"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6</w:t>
            </w:r>
          </w:p>
        </w:tc>
      </w:tr>
      <w:tr w:rsidR="00CB549A" w:rsidRPr="00CE5A9A" w14:paraId="5DC216A3" w14:textId="77777777" w:rsidTr="001E2FE9">
        <w:trPr>
          <w:trHeight w:val="300"/>
        </w:trPr>
        <w:tc>
          <w:tcPr>
            <w:tcW w:w="1170" w:type="dxa"/>
            <w:vMerge/>
            <w:vAlign w:val="center"/>
            <w:hideMark/>
          </w:tcPr>
          <w:p w14:paraId="029A518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7535A5F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262CE85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6.1</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5</w:t>
            </w:r>
          </w:p>
        </w:tc>
        <w:tc>
          <w:tcPr>
            <w:tcW w:w="2610" w:type="dxa"/>
            <w:noWrap/>
            <w:vAlign w:val="bottom"/>
            <w:hideMark/>
          </w:tcPr>
          <w:p w14:paraId="23DA733A"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6.1</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5</w:t>
            </w:r>
          </w:p>
        </w:tc>
        <w:tc>
          <w:tcPr>
            <w:tcW w:w="1800" w:type="dxa"/>
            <w:noWrap/>
            <w:vAlign w:val="bottom"/>
            <w:hideMark/>
          </w:tcPr>
          <w:p w14:paraId="0E834A3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6.3</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6</w:t>
            </w:r>
          </w:p>
        </w:tc>
      </w:tr>
      <w:tr w:rsidR="00CB549A" w:rsidRPr="00CE5A9A" w14:paraId="267A89B8" w14:textId="77777777" w:rsidTr="001E2FE9">
        <w:trPr>
          <w:trHeight w:val="300"/>
        </w:trPr>
        <w:tc>
          <w:tcPr>
            <w:tcW w:w="1170" w:type="dxa"/>
            <w:vMerge/>
            <w:vAlign w:val="center"/>
            <w:hideMark/>
          </w:tcPr>
          <w:p w14:paraId="79EB471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5212984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2E6845F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16.5 ± 2.5</w:t>
            </w:r>
          </w:p>
        </w:tc>
        <w:tc>
          <w:tcPr>
            <w:tcW w:w="2610" w:type="dxa"/>
            <w:noWrap/>
            <w:vAlign w:val="bottom"/>
            <w:hideMark/>
          </w:tcPr>
          <w:p w14:paraId="7151DA3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16.5 ± 2.6</w:t>
            </w:r>
          </w:p>
        </w:tc>
        <w:tc>
          <w:tcPr>
            <w:tcW w:w="1800" w:type="dxa"/>
            <w:noWrap/>
            <w:vAlign w:val="bottom"/>
            <w:hideMark/>
          </w:tcPr>
          <w:p w14:paraId="6C2D71F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16.9 ± 0.9</w:t>
            </w:r>
          </w:p>
        </w:tc>
      </w:tr>
      <w:tr w:rsidR="00CB549A" w:rsidRPr="00CE5A9A" w14:paraId="2ABC1B7A" w14:textId="77777777" w:rsidTr="001E2FE9">
        <w:trPr>
          <w:trHeight w:val="300"/>
        </w:trPr>
        <w:tc>
          <w:tcPr>
            <w:tcW w:w="1170" w:type="dxa"/>
            <w:vMerge/>
            <w:vAlign w:val="center"/>
            <w:hideMark/>
          </w:tcPr>
          <w:p w14:paraId="4602221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5AE2F32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4F96B90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52 (100.0%)</w:t>
            </w:r>
          </w:p>
        </w:tc>
        <w:tc>
          <w:tcPr>
            <w:tcW w:w="2610" w:type="dxa"/>
            <w:noWrap/>
            <w:vAlign w:val="bottom"/>
            <w:hideMark/>
          </w:tcPr>
          <w:p w14:paraId="6444C1D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46 (100.0%)</w:t>
            </w:r>
          </w:p>
        </w:tc>
        <w:tc>
          <w:tcPr>
            <w:tcW w:w="1800" w:type="dxa"/>
            <w:noWrap/>
            <w:vAlign w:val="bottom"/>
            <w:hideMark/>
          </w:tcPr>
          <w:p w14:paraId="3CCD4AD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6 (100.0%)</w:t>
            </w:r>
          </w:p>
        </w:tc>
      </w:tr>
      <w:tr w:rsidR="00CB549A" w:rsidRPr="00CE5A9A" w14:paraId="7608FCA6" w14:textId="77777777" w:rsidTr="001E2FE9">
        <w:trPr>
          <w:trHeight w:val="300"/>
        </w:trPr>
        <w:tc>
          <w:tcPr>
            <w:tcW w:w="1170" w:type="dxa"/>
            <w:vMerge/>
            <w:vAlign w:val="center"/>
            <w:hideMark/>
          </w:tcPr>
          <w:p w14:paraId="0D76F23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2736C1C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7AB3F58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10 (19.2%); Hispanic: 1 (1.9%); Other: 3 (5.8%); White: 38 (73.1%)</w:t>
            </w:r>
          </w:p>
        </w:tc>
        <w:tc>
          <w:tcPr>
            <w:tcW w:w="2610" w:type="dxa"/>
            <w:noWrap/>
            <w:vAlign w:val="bottom"/>
            <w:hideMark/>
          </w:tcPr>
          <w:p w14:paraId="64DF5C3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9 (19.6%); Hispanic: 1 (2.2%); Other: 3 (6.5%); White: 33 (71.7%)</w:t>
            </w:r>
          </w:p>
        </w:tc>
        <w:tc>
          <w:tcPr>
            <w:tcW w:w="1800" w:type="dxa"/>
            <w:noWrap/>
            <w:vAlign w:val="bottom"/>
            <w:hideMark/>
          </w:tcPr>
          <w:p w14:paraId="67E2775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 (16.7%); White: 5 (83.3%)</w:t>
            </w:r>
          </w:p>
        </w:tc>
      </w:tr>
      <w:tr w:rsidR="00CB549A" w:rsidRPr="00CE5A9A" w14:paraId="75BFF316" w14:textId="77777777" w:rsidTr="001E2FE9">
        <w:trPr>
          <w:trHeight w:val="300"/>
        </w:trPr>
        <w:tc>
          <w:tcPr>
            <w:tcW w:w="1170" w:type="dxa"/>
            <w:vMerge w:val="restart"/>
            <w:noWrap/>
            <w:vAlign w:val="center"/>
            <w:hideMark/>
          </w:tcPr>
          <w:p w14:paraId="51D1676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Pre-Puberty (Year 4)</w:t>
            </w:r>
          </w:p>
        </w:tc>
        <w:tc>
          <w:tcPr>
            <w:tcW w:w="2160" w:type="dxa"/>
            <w:noWrap/>
            <w:vAlign w:val="bottom"/>
            <w:hideMark/>
          </w:tcPr>
          <w:p w14:paraId="697911C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64AB783F"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52</w:t>
            </w:r>
          </w:p>
        </w:tc>
        <w:tc>
          <w:tcPr>
            <w:tcW w:w="2610" w:type="dxa"/>
            <w:noWrap/>
            <w:vAlign w:val="bottom"/>
            <w:hideMark/>
          </w:tcPr>
          <w:p w14:paraId="2131063E"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46</w:t>
            </w:r>
          </w:p>
        </w:tc>
        <w:tc>
          <w:tcPr>
            <w:tcW w:w="1800" w:type="dxa"/>
            <w:noWrap/>
            <w:vAlign w:val="bottom"/>
            <w:hideMark/>
          </w:tcPr>
          <w:p w14:paraId="70C94DF0"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6</w:t>
            </w:r>
          </w:p>
        </w:tc>
      </w:tr>
      <w:tr w:rsidR="00CB549A" w:rsidRPr="00CE5A9A" w14:paraId="50C8E1D9" w14:textId="77777777" w:rsidTr="001E2FE9">
        <w:trPr>
          <w:trHeight w:val="300"/>
        </w:trPr>
        <w:tc>
          <w:tcPr>
            <w:tcW w:w="1170" w:type="dxa"/>
            <w:vMerge/>
            <w:vAlign w:val="center"/>
            <w:hideMark/>
          </w:tcPr>
          <w:p w14:paraId="5FDD796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4E87E36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4E2B9E9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6.1</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5</w:t>
            </w:r>
          </w:p>
        </w:tc>
        <w:tc>
          <w:tcPr>
            <w:tcW w:w="2610" w:type="dxa"/>
            <w:noWrap/>
            <w:vAlign w:val="bottom"/>
            <w:hideMark/>
          </w:tcPr>
          <w:p w14:paraId="7A70CFB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6.1</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5</w:t>
            </w:r>
          </w:p>
        </w:tc>
        <w:tc>
          <w:tcPr>
            <w:tcW w:w="1800" w:type="dxa"/>
            <w:noWrap/>
            <w:vAlign w:val="bottom"/>
            <w:hideMark/>
          </w:tcPr>
          <w:p w14:paraId="54DD81C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6.3</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6</w:t>
            </w:r>
          </w:p>
        </w:tc>
      </w:tr>
      <w:tr w:rsidR="00CB549A" w:rsidRPr="00CE5A9A" w14:paraId="1579A351" w14:textId="77777777" w:rsidTr="001E2FE9">
        <w:trPr>
          <w:trHeight w:val="300"/>
        </w:trPr>
        <w:tc>
          <w:tcPr>
            <w:tcW w:w="1170" w:type="dxa"/>
            <w:vMerge/>
            <w:vAlign w:val="center"/>
            <w:hideMark/>
          </w:tcPr>
          <w:p w14:paraId="458D15E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508E111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7533695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19.3 ± 3.5</w:t>
            </w:r>
          </w:p>
        </w:tc>
        <w:tc>
          <w:tcPr>
            <w:tcW w:w="2610" w:type="dxa"/>
            <w:noWrap/>
            <w:vAlign w:val="bottom"/>
            <w:hideMark/>
          </w:tcPr>
          <w:p w14:paraId="505D065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19.2 ± 3.7</w:t>
            </w:r>
          </w:p>
        </w:tc>
        <w:tc>
          <w:tcPr>
            <w:tcW w:w="1800" w:type="dxa"/>
            <w:noWrap/>
            <w:vAlign w:val="bottom"/>
            <w:hideMark/>
          </w:tcPr>
          <w:p w14:paraId="1BC952C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20.2 ± 2.1</w:t>
            </w:r>
          </w:p>
        </w:tc>
      </w:tr>
      <w:tr w:rsidR="00CB549A" w:rsidRPr="00CE5A9A" w14:paraId="447C3898" w14:textId="77777777" w:rsidTr="001E2FE9">
        <w:trPr>
          <w:trHeight w:val="300"/>
        </w:trPr>
        <w:tc>
          <w:tcPr>
            <w:tcW w:w="1170" w:type="dxa"/>
            <w:vMerge/>
            <w:vAlign w:val="center"/>
            <w:hideMark/>
          </w:tcPr>
          <w:p w14:paraId="767B1A0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6BA2D3A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609E048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52 (100.0%)</w:t>
            </w:r>
          </w:p>
        </w:tc>
        <w:tc>
          <w:tcPr>
            <w:tcW w:w="2610" w:type="dxa"/>
            <w:noWrap/>
            <w:vAlign w:val="bottom"/>
            <w:hideMark/>
          </w:tcPr>
          <w:p w14:paraId="2920BA0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46 (100.0%)</w:t>
            </w:r>
          </w:p>
        </w:tc>
        <w:tc>
          <w:tcPr>
            <w:tcW w:w="1800" w:type="dxa"/>
            <w:noWrap/>
            <w:vAlign w:val="bottom"/>
            <w:hideMark/>
          </w:tcPr>
          <w:p w14:paraId="678DC2E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6 (100.0%)</w:t>
            </w:r>
          </w:p>
        </w:tc>
      </w:tr>
      <w:tr w:rsidR="00CB549A" w:rsidRPr="00CE5A9A" w14:paraId="24EAB623" w14:textId="77777777" w:rsidTr="001E2FE9">
        <w:trPr>
          <w:trHeight w:val="300"/>
        </w:trPr>
        <w:tc>
          <w:tcPr>
            <w:tcW w:w="1170" w:type="dxa"/>
            <w:vMerge/>
            <w:vAlign w:val="center"/>
            <w:hideMark/>
          </w:tcPr>
          <w:p w14:paraId="6C93FD0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045EDF4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46A818E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10 (19.2%); Hispanic: 1 (1.9%); Other: 3 (5.8%); White: 38 (73.1%)</w:t>
            </w:r>
          </w:p>
        </w:tc>
        <w:tc>
          <w:tcPr>
            <w:tcW w:w="2610" w:type="dxa"/>
            <w:noWrap/>
            <w:vAlign w:val="bottom"/>
            <w:hideMark/>
          </w:tcPr>
          <w:p w14:paraId="39D14B8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9 (19.6%); Hispanic: 1 (2.2%); Other: 3 (6.5%); White: 33 (71.7%)</w:t>
            </w:r>
          </w:p>
        </w:tc>
        <w:tc>
          <w:tcPr>
            <w:tcW w:w="1800" w:type="dxa"/>
            <w:noWrap/>
            <w:vAlign w:val="bottom"/>
            <w:hideMark/>
          </w:tcPr>
          <w:p w14:paraId="2D4AAD6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 (16.7%); White: 5 (83.3%)</w:t>
            </w:r>
          </w:p>
        </w:tc>
      </w:tr>
      <w:tr w:rsidR="00CB549A" w:rsidRPr="00CE5A9A" w14:paraId="70F1E1CE" w14:textId="77777777" w:rsidTr="001E2FE9">
        <w:trPr>
          <w:trHeight w:val="300"/>
        </w:trPr>
        <w:tc>
          <w:tcPr>
            <w:tcW w:w="1170" w:type="dxa"/>
            <w:vMerge w:val="restart"/>
            <w:noWrap/>
            <w:vAlign w:val="center"/>
            <w:hideMark/>
          </w:tcPr>
          <w:p w14:paraId="5B5A2A4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Post-Puberty (Baseline)</w:t>
            </w:r>
          </w:p>
        </w:tc>
        <w:tc>
          <w:tcPr>
            <w:tcW w:w="2160" w:type="dxa"/>
            <w:noWrap/>
            <w:vAlign w:val="bottom"/>
            <w:hideMark/>
          </w:tcPr>
          <w:p w14:paraId="2D144C7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7EC6624B"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82</w:t>
            </w:r>
          </w:p>
        </w:tc>
        <w:tc>
          <w:tcPr>
            <w:tcW w:w="2610" w:type="dxa"/>
            <w:noWrap/>
            <w:vAlign w:val="bottom"/>
            <w:hideMark/>
          </w:tcPr>
          <w:p w14:paraId="1BB5DB1F"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63</w:t>
            </w:r>
          </w:p>
        </w:tc>
        <w:tc>
          <w:tcPr>
            <w:tcW w:w="1800" w:type="dxa"/>
            <w:noWrap/>
            <w:vAlign w:val="bottom"/>
            <w:hideMark/>
          </w:tcPr>
          <w:p w14:paraId="2AA4021D"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w:t>
            </w:r>
          </w:p>
        </w:tc>
      </w:tr>
      <w:tr w:rsidR="00CB549A" w:rsidRPr="00CE5A9A" w14:paraId="4D941F36" w14:textId="77777777" w:rsidTr="001E2FE9">
        <w:trPr>
          <w:trHeight w:val="300"/>
        </w:trPr>
        <w:tc>
          <w:tcPr>
            <w:tcW w:w="1170" w:type="dxa"/>
            <w:vMerge/>
            <w:vAlign w:val="center"/>
            <w:hideMark/>
          </w:tcPr>
          <w:p w14:paraId="0A70A2C9"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1E21B1B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0DAC8CC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1.3</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2610" w:type="dxa"/>
            <w:noWrap/>
            <w:vAlign w:val="bottom"/>
            <w:hideMark/>
          </w:tcPr>
          <w:p w14:paraId="2FA0B3F0"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2</w:t>
            </w:r>
            <w:r w:rsidRPr="00CE5A9A">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 xml:space="preserve"> 0.8</w:t>
            </w:r>
            <w:r w:rsidRPr="00CE5A9A">
              <w:rPr>
                <w:rFonts w:ascii="Calibri" w:eastAsia="Times New Roman" w:hAnsi="Calibri" w:cs="Calibri"/>
                <w:kern w:val="0"/>
                <w:sz w:val="22"/>
                <w:szCs w:val="22"/>
                <w14:ligatures w14:val="none"/>
              </w:rPr>
              <w:t xml:space="preserve"> </w:t>
            </w:r>
          </w:p>
        </w:tc>
        <w:tc>
          <w:tcPr>
            <w:tcW w:w="1800" w:type="dxa"/>
            <w:noWrap/>
            <w:vAlign w:val="bottom"/>
            <w:hideMark/>
          </w:tcPr>
          <w:p w14:paraId="4323C04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4</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r>
      <w:tr w:rsidR="00CB549A" w:rsidRPr="00CE5A9A" w14:paraId="1BA1EE5C" w14:textId="77777777" w:rsidTr="001E2FE9">
        <w:trPr>
          <w:trHeight w:val="300"/>
        </w:trPr>
        <w:tc>
          <w:tcPr>
            <w:tcW w:w="1170" w:type="dxa"/>
            <w:vMerge/>
            <w:vAlign w:val="center"/>
            <w:hideMark/>
          </w:tcPr>
          <w:p w14:paraId="467E360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72EB9B7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53B7CD7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20.3 ± 4.7</w:t>
            </w:r>
          </w:p>
        </w:tc>
        <w:tc>
          <w:tcPr>
            <w:tcW w:w="2610" w:type="dxa"/>
            <w:noWrap/>
            <w:vAlign w:val="bottom"/>
            <w:hideMark/>
          </w:tcPr>
          <w:p w14:paraId="4D513E2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20.2 ± 4.7</w:t>
            </w:r>
          </w:p>
        </w:tc>
        <w:tc>
          <w:tcPr>
            <w:tcW w:w="1800" w:type="dxa"/>
            <w:noWrap/>
            <w:vAlign w:val="bottom"/>
            <w:hideMark/>
          </w:tcPr>
          <w:p w14:paraId="40C9DFF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20.5 ± 4.7</w:t>
            </w:r>
          </w:p>
        </w:tc>
      </w:tr>
      <w:tr w:rsidR="00CB549A" w:rsidRPr="00CE5A9A" w14:paraId="5FDCB2EC" w14:textId="77777777" w:rsidTr="001E2FE9">
        <w:trPr>
          <w:trHeight w:val="300"/>
        </w:trPr>
        <w:tc>
          <w:tcPr>
            <w:tcW w:w="1170" w:type="dxa"/>
            <w:vMerge/>
            <w:vAlign w:val="center"/>
            <w:hideMark/>
          </w:tcPr>
          <w:p w14:paraId="2E41FAE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3443C56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26F853C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82 (100.0%)</w:t>
            </w:r>
          </w:p>
        </w:tc>
        <w:tc>
          <w:tcPr>
            <w:tcW w:w="2610" w:type="dxa"/>
            <w:noWrap/>
            <w:vAlign w:val="bottom"/>
            <w:hideMark/>
          </w:tcPr>
          <w:p w14:paraId="1FB22FCA"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63 (100.0%)</w:t>
            </w:r>
          </w:p>
        </w:tc>
        <w:tc>
          <w:tcPr>
            <w:tcW w:w="1800" w:type="dxa"/>
            <w:noWrap/>
            <w:vAlign w:val="bottom"/>
            <w:hideMark/>
          </w:tcPr>
          <w:p w14:paraId="11E02AF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19 (100.0%)</w:t>
            </w:r>
          </w:p>
        </w:tc>
      </w:tr>
      <w:tr w:rsidR="00CB549A" w:rsidRPr="00CE5A9A" w14:paraId="4D635D8A" w14:textId="77777777" w:rsidTr="001E2FE9">
        <w:trPr>
          <w:trHeight w:val="300"/>
        </w:trPr>
        <w:tc>
          <w:tcPr>
            <w:tcW w:w="1170" w:type="dxa"/>
            <w:vMerge/>
            <w:vAlign w:val="center"/>
            <w:hideMark/>
          </w:tcPr>
          <w:p w14:paraId="30C8F13C"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27DB5B0C"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2540A371"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14 (17.1%); Hispanic: 8 (9.8%); Other: 8 (9.8%); White: 52 (63.4%)</w:t>
            </w:r>
          </w:p>
        </w:tc>
        <w:tc>
          <w:tcPr>
            <w:tcW w:w="2610" w:type="dxa"/>
            <w:noWrap/>
            <w:vAlign w:val="bottom"/>
            <w:hideMark/>
          </w:tcPr>
          <w:p w14:paraId="3BCAF5DA"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9 (14.3%); Hispanic: 6 (9.5%); Other: 6 (9.5%); White: 42 (66.7%)</w:t>
            </w:r>
          </w:p>
        </w:tc>
        <w:tc>
          <w:tcPr>
            <w:tcW w:w="1800" w:type="dxa"/>
            <w:noWrap/>
            <w:vAlign w:val="bottom"/>
            <w:hideMark/>
          </w:tcPr>
          <w:p w14:paraId="744670D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5 (26.3%); Hispanic: 2 (10.5%); Other: 2 (10.5%); White: 10 (52.6%)</w:t>
            </w:r>
          </w:p>
        </w:tc>
      </w:tr>
      <w:tr w:rsidR="00CB549A" w:rsidRPr="00CE5A9A" w14:paraId="58EE76B4" w14:textId="77777777" w:rsidTr="001E2FE9">
        <w:trPr>
          <w:trHeight w:val="300"/>
        </w:trPr>
        <w:tc>
          <w:tcPr>
            <w:tcW w:w="1170" w:type="dxa"/>
            <w:vMerge w:val="restart"/>
            <w:noWrap/>
            <w:vAlign w:val="center"/>
            <w:hideMark/>
          </w:tcPr>
          <w:p w14:paraId="78085FF4"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Post-Puberty (Year 4)</w:t>
            </w:r>
          </w:p>
        </w:tc>
        <w:tc>
          <w:tcPr>
            <w:tcW w:w="2160" w:type="dxa"/>
            <w:noWrap/>
            <w:vAlign w:val="bottom"/>
            <w:hideMark/>
          </w:tcPr>
          <w:p w14:paraId="7456184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N</w:t>
            </w:r>
          </w:p>
        </w:tc>
        <w:tc>
          <w:tcPr>
            <w:tcW w:w="3330" w:type="dxa"/>
            <w:noWrap/>
            <w:vAlign w:val="bottom"/>
            <w:hideMark/>
          </w:tcPr>
          <w:p w14:paraId="25EDAF83"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85</w:t>
            </w:r>
          </w:p>
        </w:tc>
        <w:tc>
          <w:tcPr>
            <w:tcW w:w="2610" w:type="dxa"/>
            <w:noWrap/>
            <w:vAlign w:val="bottom"/>
            <w:hideMark/>
          </w:tcPr>
          <w:p w14:paraId="2A730118"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66</w:t>
            </w:r>
          </w:p>
        </w:tc>
        <w:tc>
          <w:tcPr>
            <w:tcW w:w="1800" w:type="dxa"/>
            <w:noWrap/>
            <w:vAlign w:val="bottom"/>
            <w:hideMark/>
          </w:tcPr>
          <w:p w14:paraId="18FDBAA8" w14:textId="77777777" w:rsidR="00CB549A" w:rsidRPr="00CE5A9A" w:rsidRDefault="00CB549A" w:rsidP="001E2FE9">
            <w:pPr>
              <w:spacing w:after="0" w:line="240" w:lineRule="auto"/>
              <w:jc w:val="right"/>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19</w:t>
            </w:r>
          </w:p>
        </w:tc>
      </w:tr>
      <w:tr w:rsidR="00CB549A" w:rsidRPr="00CE5A9A" w14:paraId="1A39DF98" w14:textId="77777777" w:rsidTr="001E2FE9">
        <w:trPr>
          <w:trHeight w:val="300"/>
        </w:trPr>
        <w:tc>
          <w:tcPr>
            <w:tcW w:w="1170" w:type="dxa"/>
            <w:vMerge/>
            <w:vAlign w:val="center"/>
            <w:hideMark/>
          </w:tcPr>
          <w:p w14:paraId="4F4CAFA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4BFB98D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Age, mean ± SD (years)</w:t>
            </w:r>
          </w:p>
        </w:tc>
        <w:tc>
          <w:tcPr>
            <w:tcW w:w="3330" w:type="dxa"/>
            <w:noWrap/>
            <w:vAlign w:val="bottom"/>
            <w:hideMark/>
          </w:tcPr>
          <w:p w14:paraId="0E22937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3</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2610" w:type="dxa"/>
            <w:noWrap/>
            <w:vAlign w:val="bottom"/>
            <w:hideMark/>
          </w:tcPr>
          <w:p w14:paraId="5F81357E"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2</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c>
          <w:tcPr>
            <w:tcW w:w="1800" w:type="dxa"/>
            <w:noWrap/>
            <w:vAlign w:val="bottom"/>
            <w:hideMark/>
          </w:tcPr>
          <w:p w14:paraId="7AEE121D"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1</w:t>
            </w:r>
            <w:r>
              <w:rPr>
                <w:rFonts w:ascii="Calibri" w:eastAsia="Times New Roman" w:hAnsi="Calibri" w:cs="Calibri"/>
                <w:kern w:val="0"/>
                <w:sz w:val="22"/>
                <w:szCs w:val="22"/>
                <w14:ligatures w14:val="none"/>
              </w:rPr>
              <w:t>1</w:t>
            </w:r>
            <w:r w:rsidRPr="00CE5A9A">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4</w:t>
            </w:r>
            <w:r w:rsidRPr="00CE5A9A">
              <w:rPr>
                <w:rFonts w:ascii="Calibri" w:eastAsia="Times New Roman" w:hAnsi="Calibri" w:cs="Calibri"/>
                <w:kern w:val="0"/>
                <w:sz w:val="22"/>
                <w:szCs w:val="22"/>
                <w14:ligatures w14:val="none"/>
              </w:rPr>
              <w:t xml:space="preserve"> ± 0.</w:t>
            </w:r>
            <w:r>
              <w:rPr>
                <w:rFonts w:ascii="Calibri" w:eastAsia="Times New Roman" w:hAnsi="Calibri" w:cs="Calibri"/>
                <w:kern w:val="0"/>
                <w:sz w:val="22"/>
                <w:szCs w:val="22"/>
                <w14:ligatures w14:val="none"/>
              </w:rPr>
              <w:t>8</w:t>
            </w:r>
          </w:p>
        </w:tc>
      </w:tr>
      <w:tr w:rsidR="00CB549A" w:rsidRPr="00CE5A9A" w14:paraId="3129E304" w14:textId="77777777" w:rsidTr="001E2FE9">
        <w:trPr>
          <w:trHeight w:val="300"/>
        </w:trPr>
        <w:tc>
          <w:tcPr>
            <w:tcW w:w="1170" w:type="dxa"/>
            <w:vMerge/>
            <w:vAlign w:val="center"/>
            <w:hideMark/>
          </w:tcPr>
          <w:p w14:paraId="394383D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6E259CB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BMI, mean ± SD (kg/m²)</w:t>
            </w:r>
          </w:p>
        </w:tc>
        <w:tc>
          <w:tcPr>
            <w:tcW w:w="3330" w:type="dxa"/>
            <w:noWrap/>
            <w:vAlign w:val="bottom"/>
            <w:hideMark/>
          </w:tcPr>
          <w:p w14:paraId="33FA92A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24.2 ± 5.7</w:t>
            </w:r>
          </w:p>
        </w:tc>
        <w:tc>
          <w:tcPr>
            <w:tcW w:w="2610" w:type="dxa"/>
            <w:noWrap/>
            <w:vAlign w:val="bottom"/>
            <w:hideMark/>
          </w:tcPr>
          <w:p w14:paraId="2ED970C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24.2 ± 5.7</w:t>
            </w:r>
          </w:p>
        </w:tc>
        <w:tc>
          <w:tcPr>
            <w:tcW w:w="1800" w:type="dxa"/>
            <w:noWrap/>
            <w:vAlign w:val="bottom"/>
            <w:hideMark/>
          </w:tcPr>
          <w:p w14:paraId="66C86725"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24.0 ± 5.7</w:t>
            </w:r>
          </w:p>
        </w:tc>
      </w:tr>
      <w:tr w:rsidR="00CB549A" w:rsidRPr="00CE5A9A" w14:paraId="39CE85E4" w14:textId="77777777" w:rsidTr="001E2FE9">
        <w:trPr>
          <w:trHeight w:val="300"/>
        </w:trPr>
        <w:tc>
          <w:tcPr>
            <w:tcW w:w="1170" w:type="dxa"/>
            <w:vMerge/>
            <w:vAlign w:val="center"/>
            <w:hideMark/>
          </w:tcPr>
          <w:p w14:paraId="2EF6CB7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4CE9A612"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Sex, n (%)</w:t>
            </w:r>
          </w:p>
        </w:tc>
        <w:tc>
          <w:tcPr>
            <w:tcW w:w="3330" w:type="dxa"/>
            <w:noWrap/>
            <w:vAlign w:val="bottom"/>
            <w:hideMark/>
          </w:tcPr>
          <w:p w14:paraId="3A94DFB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85 (100.0%)</w:t>
            </w:r>
          </w:p>
        </w:tc>
        <w:tc>
          <w:tcPr>
            <w:tcW w:w="2610" w:type="dxa"/>
            <w:noWrap/>
            <w:vAlign w:val="bottom"/>
            <w:hideMark/>
          </w:tcPr>
          <w:p w14:paraId="7C56A3BA"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66 (100.0%)</w:t>
            </w:r>
          </w:p>
        </w:tc>
        <w:tc>
          <w:tcPr>
            <w:tcW w:w="1800" w:type="dxa"/>
            <w:noWrap/>
            <w:vAlign w:val="bottom"/>
            <w:hideMark/>
          </w:tcPr>
          <w:p w14:paraId="22D3FE46"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Female: 19 (100.0%)</w:t>
            </w:r>
          </w:p>
        </w:tc>
      </w:tr>
      <w:tr w:rsidR="00CB549A" w:rsidRPr="00CE5A9A" w14:paraId="605743CB" w14:textId="77777777" w:rsidTr="001E2FE9">
        <w:trPr>
          <w:trHeight w:val="300"/>
        </w:trPr>
        <w:tc>
          <w:tcPr>
            <w:tcW w:w="1170" w:type="dxa"/>
            <w:vMerge/>
            <w:vAlign w:val="center"/>
            <w:hideMark/>
          </w:tcPr>
          <w:p w14:paraId="42F35A17"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p>
        </w:tc>
        <w:tc>
          <w:tcPr>
            <w:tcW w:w="2160" w:type="dxa"/>
            <w:noWrap/>
            <w:vAlign w:val="bottom"/>
            <w:hideMark/>
          </w:tcPr>
          <w:p w14:paraId="0CD3EB2B"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Race/Ethnicity, n (%)</w:t>
            </w:r>
          </w:p>
        </w:tc>
        <w:tc>
          <w:tcPr>
            <w:tcW w:w="3330" w:type="dxa"/>
            <w:noWrap/>
            <w:vAlign w:val="bottom"/>
            <w:hideMark/>
          </w:tcPr>
          <w:p w14:paraId="38F176AF"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15 (17.6%); Hispanic: 9 (10.6%); Other: 7 (8.2%); White: 54 (63.5%)</w:t>
            </w:r>
          </w:p>
        </w:tc>
        <w:tc>
          <w:tcPr>
            <w:tcW w:w="2610" w:type="dxa"/>
            <w:noWrap/>
            <w:vAlign w:val="bottom"/>
            <w:hideMark/>
          </w:tcPr>
          <w:p w14:paraId="2262FBE8"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10 (15.2%); Hispanic: 6 (9.1%); Other: 6 (9.1%); White: 44 (66.7%)</w:t>
            </w:r>
          </w:p>
        </w:tc>
        <w:tc>
          <w:tcPr>
            <w:tcW w:w="1800" w:type="dxa"/>
            <w:noWrap/>
            <w:vAlign w:val="bottom"/>
            <w:hideMark/>
          </w:tcPr>
          <w:p w14:paraId="4A66AF13" w14:textId="77777777" w:rsidR="00CB549A" w:rsidRPr="00CE5A9A" w:rsidRDefault="00CB549A" w:rsidP="001E2FE9">
            <w:pPr>
              <w:spacing w:after="0" w:line="240" w:lineRule="auto"/>
              <w:rPr>
                <w:rFonts w:ascii="Calibri" w:eastAsia="Times New Roman" w:hAnsi="Calibri" w:cs="Calibri"/>
                <w:kern w:val="0"/>
                <w:sz w:val="22"/>
                <w:szCs w:val="22"/>
                <w14:ligatures w14:val="none"/>
              </w:rPr>
            </w:pPr>
            <w:r w:rsidRPr="00CE5A9A">
              <w:rPr>
                <w:rFonts w:ascii="Calibri" w:eastAsia="Times New Roman" w:hAnsi="Calibri" w:cs="Calibri"/>
                <w:kern w:val="0"/>
                <w:sz w:val="22"/>
                <w:szCs w:val="22"/>
                <w14:ligatures w14:val="none"/>
              </w:rPr>
              <w:t>African American: 5 (26.3%); Hispanic: 3 (15.8%); Other: 1 (5.3%); White: 10 (52.6%)</w:t>
            </w:r>
          </w:p>
        </w:tc>
      </w:tr>
    </w:tbl>
    <w:p w14:paraId="59789084" w14:textId="24B277E7" w:rsidR="007242C7" w:rsidRDefault="007242C7">
      <w:pPr>
        <w:rPr>
          <w:rFonts w:asciiTheme="majorHAnsi" w:hAnsiTheme="majorHAnsi"/>
          <w:b/>
          <w:bCs/>
        </w:rPr>
      </w:pPr>
    </w:p>
    <w:p w14:paraId="3ECA5AEF" w14:textId="77777777" w:rsidR="00E945A1" w:rsidRDefault="00E945A1">
      <w:pPr>
        <w:rPr>
          <w:rFonts w:asciiTheme="majorHAnsi" w:hAnsiTheme="majorHAnsi"/>
          <w:b/>
          <w:bCs/>
        </w:rPr>
      </w:pPr>
    </w:p>
    <w:p w14:paraId="0ADBC906" w14:textId="77777777" w:rsidR="00E945A1" w:rsidRDefault="00E945A1">
      <w:pPr>
        <w:rPr>
          <w:rFonts w:asciiTheme="majorHAnsi" w:hAnsiTheme="majorHAnsi"/>
          <w:b/>
          <w:bCs/>
        </w:rPr>
      </w:pPr>
    </w:p>
    <w:p w14:paraId="32723F58" w14:textId="77777777" w:rsidR="00E945A1" w:rsidRDefault="00E945A1">
      <w:pPr>
        <w:rPr>
          <w:rFonts w:asciiTheme="majorHAnsi" w:hAnsiTheme="majorHAnsi"/>
          <w:b/>
          <w:bCs/>
        </w:rPr>
      </w:pPr>
    </w:p>
    <w:p w14:paraId="46DA0B1D" w14:textId="77777777" w:rsidR="00E945A1" w:rsidRDefault="00E945A1">
      <w:pPr>
        <w:rPr>
          <w:rFonts w:asciiTheme="majorHAnsi" w:hAnsiTheme="majorHAnsi"/>
          <w:b/>
          <w:bCs/>
        </w:rPr>
      </w:pPr>
    </w:p>
    <w:p w14:paraId="6B67559A" w14:textId="77777777" w:rsidR="002D3653" w:rsidRDefault="002D3653">
      <w:pPr>
        <w:rPr>
          <w:rFonts w:asciiTheme="majorHAnsi" w:hAnsiTheme="majorHAnsi"/>
          <w:b/>
          <w:bCs/>
        </w:rPr>
      </w:pPr>
    </w:p>
    <w:p w14:paraId="5A08AFFC" w14:textId="77777777" w:rsidR="002D3653" w:rsidRDefault="002D3653">
      <w:pPr>
        <w:rPr>
          <w:rFonts w:asciiTheme="majorHAnsi" w:hAnsiTheme="majorHAnsi"/>
          <w:b/>
          <w:bCs/>
        </w:rPr>
      </w:pPr>
    </w:p>
    <w:p w14:paraId="2DFBB32B" w14:textId="77777777" w:rsidR="002D3653" w:rsidRDefault="002D3653">
      <w:pPr>
        <w:rPr>
          <w:rFonts w:asciiTheme="majorHAnsi" w:hAnsiTheme="majorHAnsi"/>
          <w:b/>
          <w:bCs/>
        </w:rPr>
      </w:pPr>
    </w:p>
    <w:p w14:paraId="4748DEB7" w14:textId="77777777" w:rsidR="002D3653" w:rsidRDefault="002D3653">
      <w:pPr>
        <w:rPr>
          <w:rFonts w:asciiTheme="majorHAnsi" w:hAnsiTheme="majorHAnsi"/>
          <w:b/>
          <w:bCs/>
        </w:rPr>
      </w:pPr>
    </w:p>
    <w:p w14:paraId="4B775FCF" w14:textId="77777777" w:rsidR="00E945A1" w:rsidRDefault="00E945A1">
      <w:pPr>
        <w:rPr>
          <w:rFonts w:asciiTheme="majorHAnsi" w:hAnsiTheme="majorHAnsi"/>
          <w:b/>
          <w:bCs/>
        </w:rPr>
      </w:pPr>
    </w:p>
    <w:p w14:paraId="051C642B" w14:textId="77777777" w:rsidR="006F1C19" w:rsidRDefault="006F1C19">
      <w:pPr>
        <w:rPr>
          <w:rFonts w:asciiTheme="majorHAnsi" w:hAnsiTheme="majorHAnsi"/>
          <w:b/>
          <w:bCs/>
        </w:rPr>
      </w:pPr>
    </w:p>
    <w:p w14:paraId="5D510960" w14:textId="77777777" w:rsidR="006F1C19" w:rsidRDefault="006F1C19">
      <w:pPr>
        <w:rPr>
          <w:rFonts w:asciiTheme="majorHAnsi" w:hAnsiTheme="majorHAnsi"/>
          <w:b/>
          <w:bCs/>
        </w:rPr>
      </w:pPr>
    </w:p>
    <w:p w14:paraId="4E345B69" w14:textId="77777777" w:rsidR="006F1C19" w:rsidRDefault="006F1C19">
      <w:pPr>
        <w:rPr>
          <w:rFonts w:asciiTheme="majorHAnsi" w:hAnsiTheme="majorHAnsi"/>
          <w:b/>
          <w:bCs/>
        </w:rPr>
      </w:pPr>
    </w:p>
    <w:p w14:paraId="27281BC5" w14:textId="77777777" w:rsidR="006F1C19" w:rsidRDefault="006F1C19">
      <w:pPr>
        <w:rPr>
          <w:rFonts w:asciiTheme="majorHAnsi" w:hAnsiTheme="majorHAnsi"/>
          <w:b/>
          <w:bCs/>
        </w:rPr>
      </w:pPr>
    </w:p>
    <w:p w14:paraId="41F8E99C" w14:textId="77777777" w:rsidR="006F1C19" w:rsidRDefault="006F1C19">
      <w:pPr>
        <w:rPr>
          <w:rFonts w:asciiTheme="majorHAnsi" w:hAnsiTheme="majorHAnsi"/>
          <w:b/>
          <w:bCs/>
        </w:rPr>
      </w:pPr>
    </w:p>
    <w:p w14:paraId="3FD7F092" w14:textId="77777777" w:rsidR="006F1C19" w:rsidRDefault="006F1C19">
      <w:pPr>
        <w:rPr>
          <w:rFonts w:asciiTheme="majorHAnsi" w:hAnsiTheme="majorHAnsi"/>
          <w:b/>
          <w:bCs/>
        </w:rPr>
      </w:pPr>
    </w:p>
    <w:p w14:paraId="48B7F6C2" w14:textId="77777777" w:rsidR="006F1C19" w:rsidRDefault="006F1C19">
      <w:pPr>
        <w:rPr>
          <w:rFonts w:asciiTheme="majorHAnsi" w:hAnsiTheme="majorHAnsi"/>
          <w:b/>
          <w:bCs/>
        </w:rPr>
      </w:pPr>
    </w:p>
    <w:tbl>
      <w:tblPr>
        <w:tblpPr w:leftFromText="180" w:rightFromText="180" w:vertAnchor="page" w:horzAnchor="margin" w:tblpY="3555"/>
        <w:tblW w:w="53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3226"/>
        <w:gridCol w:w="1533"/>
        <w:gridCol w:w="1459"/>
        <w:gridCol w:w="1340"/>
        <w:gridCol w:w="1458"/>
      </w:tblGrid>
      <w:tr w:rsidR="00EA20CE" w:rsidRPr="00177EC9" w14:paraId="592DADA6" w14:textId="77777777" w:rsidTr="00177EC9">
        <w:trPr>
          <w:trHeight w:val="288"/>
        </w:trPr>
        <w:tc>
          <w:tcPr>
            <w:tcW w:w="514" w:type="pct"/>
            <w:noWrap/>
            <w:vAlign w:val="bottom"/>
            <w:hideMark/>
          </w:tcPr>
          <w:p w14:paraId="08F71054"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lastRenderedPageBreak/>
              <w:t>Sex</w:t>
            </w:r>
          </w:p>
        </w:tc>
        <w:tc>
          <w:tcPr>
            <w:tcW w:w="1605" w:type="pct"/>
            <w:noWrap/>
            <w:vAlign w:val="bottom"/>
            <w:hideMark/>
          </w:tcPr>
          <w:p w14:paraId="093A0BFC"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Metabolite</w:t>
            </w:r>
          </w:p>
        </w:tc>
        <w:tc>
          <w:tcPr>
            <w:tcW w:w="763" w:type="pct"/>
            <w:noWrap/>
            <w:vAlign w:val="bottom"/>
            <w:hideMark/>
          </w:tcPr>
          <w:p w14:paraId="12EA6F22"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beta</w:t>
            </w:r>
          </w:p>
        </w:tc>
        <w:tc>
          <w:tcPr>
            <w:tcW w:w="726" w:type="pct"/>
            <w:noWrap/>
            <w:vAlign w:val="bottom"/>
            <w:hideMark/>
          </w:tcPr>
          <w:p w14:paraId="46B621C0"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SE</w:t>
            </w:r>
          </w:p>
        </w:tc>
        <w:tc>
          <w:tcPr>
            <w:tcW w:w="667" w:type="pct"/>
            <w:noWrap/>
            <w:vAlign w:val="bottom"/>
            <w:hideMark/>
          </w:tcPr>
          <w:p w14:paraId="543997A5"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t</w:t>
            </w:r>
          </w:p>
        </w:tc>
        <w:tc>
          <w:tcPr>
            <w:tcW w:w="726" w:type="pct"/>
            <w:noWrap/>
            <w:vAlign w:val="bottom"/>
            <w:hideMark/>
          </w:tcPr>
          <w:p w14:paraId="407B6710"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pvalue</w:t>
            </w:r>
            <w:proofErr w:type="spellEnd"/>
          </w:p>
        </w:tc>
      </w:tr>
      <w:tr w:rsidR="00EA20CE" w:rsidRPr="00177EC9" w14:paraId="0F4BBB08" w14:textId="77777777" w:rsidTr="00177EC9">
        <w:trPr>
          <w:trHeight w:val="288"/>
        </w:trPr>
        <w:tc>
          <w:tcPr>
            <w:tcW w:w="514" w:type="pct"/>
            <w:vMerge w:val="restart"/>
            <w:noWrap/>
            <w:vAlign w:val="center"/>
            <w:hideMark/>
          </w:tcPr>
          <w:p w14:paraId="486B952B" w14:textId="77777777" w:rsidR="00EA20CE" w:rsidRPr="00177EC9" w:rsidRDefault="00EA20CE" w:rsidP="00177EC9">
            <w:pPr>
              <w:spacing w:after="0" w:line="240" w:lineRule="auto"/>
              <w:jc w:val="center"/>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Males</w:t>
            </w:r>
          </w:p>
        </w:tc>
        <w:tc>
          <w:tcPr>
            <w:tcW w:w="1605" w:type="pct"/>
            <w:noWrap/>
            <w:vAlign w:val="bottom"/>
            <w:hideMark/>
          </w:tcPr>
          <w:p w14:paraId="6246609F"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deoxycortisol</w:t>
            </w:r>
            <w:proofErr w:type="spellEnd"/>
          </w:p>
        </w:tc>
        <w:tc>
          <w:tcPr>
            <w:tcW w:w="763" w:type="pct"/>
            <w:noWrap/>
            <w:vAlign w:val="bottom"/>
            <w:hideMark/>
          </w:tcPr>
          <w:p w14:paraId="40F590F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0.089323841</w:t>
            </w:r>
          </w:p>
        </w:tc>
        <w:tc>
          <w:tcPr>
            <w:tcW w:w="726" w:type="pct"/>
            <w:noWrap/>
            <w:vAlign w:val="bottom"/>
            <w:hideMark/>
          </w:tcPr>
          <w:p w14:paraId="27C778C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0.133243402</w:t>
            </w:r>
          </w:p>
        </w:tc>
        <w:tc>
          <w:tcPr>
            <w:tcW w:w="667" w:type="pct"/>
            <w:noWrap/>
            <w:vAlign w:val="bottom"/>
            <w:hideMark/>
          </w:tcPr>
          <w:p w14:paraId="2A7209D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0.67038097</w:t>
            </w:r>
          </w:p>
        </w:tc>
        <w:tc>
          <w:tcPr>
            <w:tcW w:w="726" w:type="pct"/>
            <w:noWrap/>
            <w:vAlign w:val="bottom"/>
            <w:hideMark/>
          </w:tcPr>
          <w:p w14:paraId="73F168BB"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0.503007705</w:t>
            </w:r>
          </w:p>
        </w:tc>
      </w:tr>
      <w:tr w:rsidR="00EA20CE" w:rsidRPr="00177EC9" w14:paraId="6AF3F416" w14:textId="77777777" w:rsidTr="00177EC9">
        <w:trPr>
          <w:trHeight w:val="288"/>
        </w:trPr>
        <w:tc>
          <w:tcPr>
            <w:tcW w:w="514" w:type="pct"/>
            <w:vMerge/>
            <w:vAlign w:val="center"/>
            <w:hideMark/>
          </w:tcPr>
          <w:p w14:paraId="6752E75D"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7282C33C"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alphahydroxyprogesterone</w:t>
            </w:r>
            <w:proofErr w:type="spellEnd"/>
          </w:p>
        </w:tc>
        <w:tc>
          <w:tcPr>
            <w:tcW w:w="763" w:type="pct"/>
            <w:noWrap/>
            <w:vAlign w:val="bottom"/>
            <w:hideMark/>
          </w:tcPr>
          <w:p w14:paraId="1D88B695"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0.217505574</w:t>
            </w:r>
          </w:p>
        </w:tc>
        <w:tc>
          <w:tcPr>
            <w:tcW w:w="726" w:type="pct"/>
            <w:noWrap/>
            <w:vAlign w:val="bottom"/>
            <w:hideMark/>
          </w:tcPr>
          <w:p w14:paraId="20D1274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0.167065952</w:t>
            </w:r>
          </w:p>
        </w:tc>
        <w:tc>
          <w:tcPr>
            <w:tcW w:w="667" w:type="pct"/>
            <w:noWrap/>
            <w:vAlign w:val="bottom"/>
            <w:hideMark/>
          </w:tcPr>
          <w:p w14:paraId="12DBBA2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1.30191443</w:t>
            </w:r>
          </w:p>
        </w:tc>
        <w:tc>
          <w:tcPr>
            <w:tcW w:w="726" w:type="pct"/>
            <w:noWrap/>
            <w:vAlign w:val="bottom"/>
            <w:hideMark/>
          </w:tcPr>
          <w:p w14:paraId="12809C2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0.193706266</w:t>
            </w:r>
          </w:p>
        </w:tc>
      </w:tr>
      <w:tr w:rsidR="00EA20CE" w:rsidRPr="00177EC9" w14:paraId="0F3C2B7F" w14:textId="77777777" w:rsidTr="00177EC9">
        <w:trPr>
          <w:trHeight w:val="288"/>
        </w:trPr>
        <w:tc>
          <w:tcPr>
            <w:tcW w:w="514" w:type="pct"/>
            <w:vMerge/>
            <w:vAlign w:val="center"/>
            <w:hideMark/>
          </w:tcPr>
          <w:p w14:paraId="2BE7E15C"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79BD5984"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hydroxycorticosterone</w:t>
            </w:r>
            <w:proofErr w:type="spellEnd"/>
          </w:p>
        </w:tc>
        <w:tc>
          <w:tcPr>
            <w:tcW w:w="763" w:type="pct"/>
            <w:noWrap/>
            <w:vAlign w:val="bottom"/>
            <w:hideMark/>
          </w:tcPr>
          <w:p w14:paraId="702007A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0.001515643</w:t>
            </w:r>
          </w:p>
        </w:tc>
        <w:tc>
          <w:tcPr>
            <w:tcW w:w="726" w:type="pct"/>
            <w:noWrap/>
            <w:vAlign w:val="bottom"/>
            <w:hideMark/>
          </w:tcPr>
          <w:p w14:paraId="17D25E5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0.133405243</w:t>
            </w:r>
          </w:p>
        </w:tc>
        <w:tc>
          <w:tcPr>
            <w:tcW w:w="667" w:type="pct"/>
            <w:noWrap/>
            <w:vAlign w:val="bottom"/>
            <w:hideMark/>
          </w:tcPr>
          <w:p w14:paraId="7C7942BB"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0.0113612</w:t>
            </w:r>
          </w:p>
        </w:tc>
        <w:tc>
          <w:tcPr>
            <w:tcW w:w="726" w:type="pct"/>
            <w:noWrap/>
            <w:vAlign w:val="bottom"/>
            <w:hideMark/>
          </w:tcPr>
          <w:p w14:paraId="5302030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0.990941021</w:t>
            </w:r>
          </w:p>
        </w:tc>
      </w:tr>
      <w:tr w:rsidR="00EA20CE" w:rsidRPr="00177EC9" w14:paraId="67DBBE65" w14:textId="77777777" w:rsidTr="00177EC9">
        <w:trPr>
          <w:trHeight w:val="288"/>
        </w:trPr>
        <w:tc>
          <w:tcPr>
            <w:tcW w:w="514" w:type="pct"/>
            <w:vMerge/>
            <w:vAlign w:val="center"/>
            <w:hideMark/>
          </w:tcPr>
          <w:p w14:paraId="125D60D6"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23589FFA"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aldosterone</w:t>
            </w:r>
          </w:p>
        </w:tc>
        <w:tc>
          <w:tcPr>
            <w:tcW w:w="763" w:type="pct"/>
            <w:noWrap/>
            <w:vAlign w:val="bottom"/>
            <w:hideMark/>
          </w:tcPr>
          <w:p w14:paraId="19FDF01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-0.017630896</w:t>
            </w:r>
          </w:p>
        </w:tc>
        <w:tc>
          <w:tcPr>
            <w:tcW w:w="726" w:type="pct"/>
            <w:noWrap/>
            <w:vAlign w:val="bottom"/>
            <w:hideMark/>
          </w:tcPr>
          <w:p w14:paraId="3DEFA97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0.280507217</w:t>
            </w:r>
          </w:p>
        </w:tc>
        <w:tc>
          <w:tcPr>
            <w:tcW w:w="667" w:type="pct"/>
            <w:noWrap/>
            <w:vAlign w:val="bottom"/>
            <w:hideMark/>
          </w:tcPr>
          <w:p w14:paraId="2E46478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-0.0628536</w:t>
            </w:r>
          </w:p>
        </w:tc>
        <w:tc>
          <w:tcPr>
            <w:tcW w:w="726" w:type="pct"/>
            <w:noWrap/>
            <w:vAlign w:val="bottom"/>
            <w:hideMark/>
          </w:tcPr>
          <w:p w14:paraId="5931D59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0.949914936</w:t>
            </w:r>
          </w:p>
        </w:tc>
      </w:tr>
      <w:tr w:rsidR="00EA20CE" w:rsidRPr="00177EC9" w14:paraId="7E882B1B" w14:textId="77777777" w:rsidTr="00177EC9">
        <w:trPr>
          <w:trHeight w:val="288"/>
        </w:trPr>
        <w:tc>
          <w:tcPr>
            <w:tcW w:w="514" w:type="pct"/>
            <w:vMerge/>
            <w:vAlign w:val="center"/>
            <w:hideMark/>
          </w:tcPr>
          <w:p w14:paraId="74241FE6"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28E8BA62"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androstenedione</w:t>
            </w:r>
          </w:p>
        </w:tc>
        <w:tc>
          <w:tcPr>
            <w:tcW w:w="763" w:type="pct"/>
            <w:noWrap/>
            <w:vAlign w:val="bottom"/>
            <w:hideMark/>
          </w:tcPr>
          <w:p w14:paraId="034316F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-0.060625096</w:t>
            </w:r>
          </w:p>
        </w:tc>
        <w:tc>
          <w:tcPr>
            <w:tcW w:w="726" w:type="pct"/>
            <w:noWrap/>
            <w:vAlign w:val="bottom"/>
            <w:hideMark/>
          </w:tcPr>
          <w:p w14:paraId="3FD4177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0.16836914</w:t>
            </w:r>
          </w:p>
        </w:tc>
        <w:tc>
          <w:tcPr>
            <w:tcW w:w="667" w:type="pct"/>
            <w:noWrap/>
            <w:vAlign w:val="bottom"/>
            <w:hideMark/>
          </w:tcPr>
          <w:p w14:paraId="4695B42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-0.3600725</w:t>
            </w:r>
          </w:p>
        </w:tc>
        <w:tc>
          <w:tcPr>
            <w:tcW w:w="726" w:type="pct"/>
            <w:noWrap/>
            <w:vAlign w:val="bottom"/>
            <w:hideMark/>
          </w:tcPr>
          <w:p w14:paraId="782D57A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0.718985858</w:t>
            </w:r>
          </w:p>
        </w:tc>
      </w:tr>
      <w:tr w:rsidR="00EA20CE" w:rsidRPr="00177EC9" w14:paraId="14B40634" w14:textId="77777777" w:rsidTr="00177EC9">
        <w:trPr>
          <w:trHeight w:val="288"/>
        </w:trPr>
        <w:tc>
          <w:tcPr>
            <w:tcW w:w="514" w:type="pct"/>
            <w:vMerge/>
            <w:vAlign w:val="center"/>
            <w:hideMark/>
          </w:tcPr>
          <w:p w14:paraId="48EAA6D1"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6D0E6B14"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corticosterone</w:t>
            </w:r>
          </w:p>
        </w:tc>
        <w:tc>
          <w:tcPr>
            <w:tcW w:w="763" w:type="pct"/>
            <w:noWrap/>
            <w:vAlign w:val="bottom"/>
            <w:hideMark/>
          </w:tcPr>
          <w:p w14:paraId="5D2EBF3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0.07333506</w:t>
            </w:r>
          </w:p>
        </w:tc>
        <w:tc>
          <w:tcPr>
            <w:tcW w:w="726" w:type="pct"/>
            <w:noWrap/>
            <w:vAlign w:val="bottom"/>
            <w:hideMark/>
          </w:tcPr>
          <w:p w14:paraId="656AC95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0.11454582</w:t>
            </w:r>
          </w:p>
        </w:tc>
        <w:tc>
          <w:tcPr>
            <w:tcW w:w="667" w:type="pct"/>
            <w:noWrap/>
            <w:vAlign w:val="bottom"/>
            <w:hideMark/>
          </w:tcPr>
          <w:p w14:paraId="4CBB146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0.64022467</w:t>
            </w:r>
          </w:p>
        </w:tc>
        <w:tc>
          <w:tcPr>
            <w:tcW w:w="726" w:type="pct"/>
            <w:noWrap/>
            <w:vAlign w:val="bottom"/>
            <w:hideMark/>
          </w:tcPr>
          <w:p w14:paraId="400B832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0.522398677</w:t>
            </w:r>
          </w:p>
        </w:tc>
      </w:tr>
      <w:tr w:rsidR="00EA20CE" w:rsidRPr="00177EC9" w14:paraId="0CC95F8F" w14:textId="77777777" w:rsidTr="00177EC9">
        <w:trPr>
          <w:trHeight w:val="288"/>
        </w:trPr>
        <w:tc>
          <w:tcPr>
            <w:tcW w:w="514" w:type="pct"/>
            <w:vMerge/>
            <w:vAlign w:val="center"/>
            <w:hideMark/>
          </w:tcPr>
          <w:p w14:paraId="595EBCD9"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227FC75F"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cortisol</w:t>
            </w:r>
          </w:p>
        </w:tc>
        <w:tc>
          <w:tcPr>
            <w:tcW w:w="763" w:type="pct"/>
            <w:noWrap/>
            <w:vAlign w:val="bottom"/>
            <w:hideMark/>
          </w:tcPr>
          <w:p w14:paraId="1B1048A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0.013808361</w:t>
            </w:r>
          </w:p>
        </w:tc>
        <w:tc>
          <w:tcPr>
            <w:tcW w:w="726" w:type="pct"/>
            <w:noWrap/>
            <w:vAlign w:val="bottom"/>
            <w:hideMark/>
          </w:tcPr>
          <w:p w14:paraId="5ABEF60B"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0.116964589</w:t>
            </w:r>
          </w:p>
        </w:tc>
        <w:tc>
          <w:tcPr>
            <w:tcW w:w="667" w:type="pct"/>
            <w:noWrap/>
            <w:vAlign w:val="bottom"/>
            <w:hideMark/>
          </w:tcPr>
          <w:p w14:paraId="6AF1EE9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0.11805591</w:t>
            </w:r>
          </w:p>
        </w:tc>
        <w:tc>
          <w:tcPr>
            <w:tcW w:w="726" w:type="pct"/>
            <w:noWrap/>
            <w:vAlign w:val="bottom"/>
            <w:hideMark/>
          </w:tcPr>
          <w:p w14:paraId="5E5C0F7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0.906083517</w:t>
            </w:r>
          </w:p>
        </w:tc>
      </w:tr>
      <w:tr w:rsidR="00EA20CE" w:rsidRPr="00177EC9" w14:paraId="75596465" w14:textId="77777777" w:rsidTr="00177EC9">
        <w:trPr>
          <w:trHeight w:val="288"/>
        </w:trPr>
        <w:tc>
          <w:tcPr>
            <w:tcW w:w="514" w:type="pct"/>
            <w:vMerge/>
            <w:vAlign w:val="center"/>
            <w:hideMark/>
          </w:tcPr>
          <w:p w14:paraId="2463ADF1"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1F14CAD9"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cortisone</w:t>
            </w:r>
          </w:p>
        </w:tc>
        <w:tc>
          <w:tcPr>
            <w:tcW w:w="763" w:type="pct"/>
            <w:noWrap/>
            <w:vAlign w:val="bottom"/>
            <w:hideMark/>
          </w:tcPr>
          <w:p w14:paraId="7BB6A79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0.135404883</w:t>
            </w:r>
          </w:p>
        </w:tc>
        <w:tc>
          <w:tcPr>
            <w:tcW w:w="726" w:type="pct"/>
            <w:noWrap/>
            <w:vAlign w:val="bottom"/>
            <w:hideMark/>
          </w:tcPr>
          <w:p w14:paraId="2947637B"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0.101098554</w:t>
            </w:r>
          </w:p>
        </w:tc>
        <w:tc>
          <w:tcPr>
            <w:tcW w:w="667" w:type="pct"/>
            <w:noWrap/>
            <w:vAlign w:val="bottom"/>
            <w:hideMark/>
          </w:tcPr>
          <w:p w14:paraId="32C03EA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1.3393355</w:t>
            </w:r>
          </w:p>
        </w:tc>
        <w:tc>
          <w:tcPr>
            <w:tcW w:w="726" w:type="pct"/>
            <w:noWrap/>
            <w:vAlign w:val="bottom"/>
            <w:hideMark/>
          </w:tcPr>
          <w:p w14:paraId="142F4AE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0.181233564</w:t>
            </w:r>
          </w:p>
        </w:tc>
      </w:tr>
      <w:tr w:rsidR="00EA20CE" w:rsidRPr="00177EC9" w14:paraId="1B45426D" w14:textId="77777777" w:rsidTr="00177EC9">
        <w:trPr>
          <w:trHeight w:val="288"/>
        </w:trPr>
        <w:tc>
          <w:tcPr>
            <w:tcW w:w="514" w:type="pct"/>
            <w:vMerge/>
            <w:vAlign w:val="center"/>
            <w:hideMark/>
          </w:tcPr>
          <w:p w14:paraId="016D66CA"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5D0CFCAB" w14:textId="77777777" w:rsidR="00EA20CE" w:rsidRPr="00177EC9" w:rsidRDefault="00EA20CE" w:rsidP="00177EC9">
            <w:pPr>
              <w:spacing w:after="0" w:line="240" w:lineRule="auto"/>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deoxycorticosterone</w:t>
            </w:r>
          </w:p>
        </w:tc>
        <w:tc>
          <w:tcPr>
            <w:tcW w:w="763" w:type="pct"/>
            <w:noWrap/>
            <w:vAlign w:val="bottom"/>
            <w:hideMark/>
          </w:tcPr>
          <w:p w14:paraId="5646092F"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0.244036135</w:t>
            </w:r>
          </w:p>
        </w:tc>
        <w:tc>
          <w:tcPr>
            <w:tcW w:w="726" w:type="pct"/>
            <w:noWrap/>
            <w:vAlign w:val="bottom"/>
            <w:hideMark/>
          </w:tcPr>
          <w:p w14:paraId="57DB25F1"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0.106248509</w:t>
            </w:r>
          </w:p>
        </w:tc>
        <w:tc>
          <w:tcPr>
            <w:tcW w:w="667" w:type="pct"/>
            <w:noWrap/>
            <w:vAlign w:val="bottom"/>
            <w:hideMark/>
          </w:tcPr>
          <w:p w14:paraId="0D4B6E8A"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2.29684292</w:t>
            </w:r>
          </w:p>
        </w:tc>
        <w:tc>
          <w:tcPr>
            <w:tcW w:w="726" w:type="pct"/>
            <w:noWrap/>
            <w:vAlign w:val="bottom"/>
            <w:hideMark/>
          </w:tcPr>
          <w:p w14:paraId="21DC4B66"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0.022151543</w:t>
            </w:r>
          </w:p>
        </w:tc>
      </w:tr>
      <w:tr w:rsidR="00EA20CE" w:rsidRPr="00177EC9" w14:paraId="799F2C8F" w14:textId="77777777" w:rsidTr="00177EC9">
        <w:trPr>
          <w:trHeight w:val="288"/>
        </w:trPr>
        <w:tc>
          <w:tcPr>
            <w:tcW w:w="514" w:type="pct"/>
            <w:vMerge/>
            <w:vAlign w:val="center"/>
            <w:hideMark/>
          </w:tcPr>
          <w:p w14:paraId="4B12162E"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0FE9C099"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dehydroepiandrosteronesulfate</w:t>
            </w:r>
            <w:proofErr w:type="spellEnd"/>
          </w:p>
        </w:tc>
        <w:tc>
          <w:tcPr>
            <w:tcW w:w="763" w:type="pct"/>
            <w:noWrap/>
            <w:vAlign w:val="bottom"/>
            <w:hideMark/>
          </w:tcPr>
          <w:p w14:paraId="158E77E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0.052187524</w:t>
            </w:r>
          </w:p>
        </w:tc>
        <w:tc>
          <w:tcPr>
            <w:tcW w:w="726" w:type="pct"/>
            <w:noWrap/>
            <w:vAlign w:val="bottom"/>
            <w:hideMark/>
          </w:tcPr>
          <w:p w14:paraId="159B06A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0.043279304</w:t>
            </w:r>
          </w:p>
        </w:tc>
        <w:tc>
          <w:tcPr>
            <w:tcW w:w="667" w:type="pct"/>
            <w:noWrap/>
            <w:vAlign w:val="bottom"/>
            <w:hideMark/>
          </w:tcPr>
          <w:p w14:paraId="775BFD4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1.20583095</w:t>
            </w:r>
          </w:p>
        </w:tc>
        <w:tc>
          <w:tcPr>
            <w:tcW w:w="726" w:type="pct"/>
            <w:noWrap/>
            <w:vAlign w:val="bottom"/>
            <w:hideMark/>
          </w:tcPr>
          <w:p w14:paraId="1F1166B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0.228606306</w:t>
            </w:r>
          </w:p>
        </w:tc>
      </w:tr>
      <w:tr w:rsidR="00EA20CE" w:rsidRPr="00177EC9" w14:paraId="1BF0401A" w14:textId="77777777" w:rsidTr="00177EC9">
        <w:trPr>
          <w:trHeight w:val="288"/>
        </w:trPr>
        <w:tc>
          <w:tcPr>
            <w:tcW w:w="514" w:type="pct"/>
            <w:vMerge/>
            <w:vAlign w:val="center"/>
            <w:hideMark/>
          </w:tcPr>
          <w:p w14:paraId="6A7D6A39"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68610BB5"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estradiol</w:t>
            </w:r>
          </w:p>
        </w:tc>
        <w:tc>
          <w:tcPr>
            <w:tcW w:w="763" w:type="pct"/>
            <w:noWrap/>
            <w:vAlign w:val="bottom"/>
            <w:hideMark/>
          </w:tcPr>
          <w:p w14:paraId="6E0B1A6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0.16880066</w:t>
            </w:r>
          </w:p>
        </w:tc>
        <w:tc>
          <w:tcPr>
            <w:tcW w:w="726" w:type="pct"/>
            <w:noWrap/>
            <w:vAlign w:val="bottom"/>
            <w:hideMark/>
          </w:tcPr>
          <w:p w14:paraId="3B00169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0.41079913</w:t>
            </w:r>
          </w:p>
        </w:tc>
        <w:tc>
          <w:tcPr>
            <w:tcW w:w="667" w:type="pct"/>
            <w:noWrap/>
            <w:vAlign w:val="bottom"/>
            <w:hideMark/>
          </w:tcPr>
          <w:p w14:paraId="0D6E80F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0.41090803</w:t>
            </w:r>
          </w:p>
        </w:tc>
        <w:tc>
          <w:tcPr>
            <w:tcW w:w="726" w:type="pct"/>
            <w:noWrap/>
            <w:vAlign w:val="bottom"/>
            <w:hideMark/>
          </w:tcPr>
          <w:p w14:paraId="635701E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0.681363365</w:t>
            </w:r>
          </w:p>
        </w:tc>
      </w:tr>
      <w:tr w:rsidR="00EA20CE" w:rsidRPr="00177EC9" w14:paraId="2810E959" w14:textId="77777777" w:rsidTr="00177EC9">
        <w:trPr>
          <w:trHeight w:val="288"/>
        </w:trPr>
        <w:tc>
          <w:tcPr>
            <w:tcW w:w="514" w:type="pct"/>
            <w:vMerge/>
            <w:vAlign w:val="center"/>
            <w:hideMark/>
          </w:tcPr>
          <w:p w14:paraId="6AD7E8BB"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78082C1E"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estrone</w:t>
            </w:r>
          </w:p>
        </w:tc>
        <w:tc>
          <w:tcPr>
            <w:tcW w:w="763" w:type="pct"/>
            <w:noWrap/>
            <w:vAlign w:val="bottom"/>
            <w:hideMark/>
          </w:tcPr>
          <w:p w14:paraId="6C91612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0.352631303</w:t>
            </w:r>
          </w:p>
        </w:tc>
        <w:tc>
          <w:tcPr>
            <w:tcW w:w="726" w:type="pct"/>
            <w:noWrap/>
            <w:vAlign w:val="bottom"/>
            <w:hideMark/>
          </w:tcPr>
          <w:p w14:paraId="2049D2F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0.233394068</w:t>
            </w:r>
          </w:p>
        </w:tc>
        <w:tc>
          <w:tcPr>
            <w:tcW w:w="667" w:type="pct"/>
            <w:noWrap/>
            <w:vAlign w:val="bottom"/>
            <w:hideMark/>
          </w:tcPr>
          <w:p w14:paraId="4B2E281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1.51088374</w:t>
            </w:r>
          </w:p>
        </w:tc>
        <w:tc>
          <w:tcPr>
            <w:tcW w:w="726" w:type="pct"/>
            <w:noWrap/>
            <w:vAlign w:val="bottom"/>
            <w:hideMark/>
          </w:tcPr>
          <w:p w14:paraId="44C3D6B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0.13161965</w:t>
            </w:r>
          </w:p>
        </w:tc>
      </w:tr>
      <w:tr w:rsidR="00EA20CE" w:rsidRPr="00177EC9" w14:paraId="209FA9D1" w14:textId="77777777" w:rsidTr="00177EC9">
        <w:trPr>
          <w:trHeight w:val="288"/>
        </w:trPr>
        <w:tc>
          <w:tcPr>
            <w:tcW w:w="514" w:type="pct"/>
            <w:vMerge/>
            <w:vAlign w:val="center"/>
            <w:hideMark/>
          </w:tcPr>
          <w:p w14:paraId="2BD4BE05"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1B8A929F"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estronesulfate</w:t>
            </w:r>
            <w:proofErr w:type="spellEnd"/>
          </w:p>
        </w:tc>
        <w:tc>
          <w:tcPr>
            <w:tcW w:w="763" w:type="pct"/>
            <w:noWrap/>
            <w:vAlign w:val="bottom"/>
            <w:hideMark/>
          </w:tcPr>
          <w:p w14:paraId="2E279835"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-0.326773019</w:t>
            </w:r>
          </w:p>
        </w:tc>
        <w:tc>
          <w:tcPr>
            <w:tcW w:w="726" w:type="pct"/>
            <w:noWrap/>
            <w:vAlign w:val="bottom"/>
            <w:hideMark/>
          </w:tcPr>
          <w:p w14:paraId="4006F6C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0.282547901</w:t>
            </w:r>
          </w:p>
        </w:tc>
        <w:tc>
          <w:tcPr>
            <w:tcW w:w="667" w:type="pct"/>
            <w:noWrap/>
            <w:vAlign w:val="bottom"/>
            <w:hideMark/>
          </w:tcPr>
          <w:p w14:paraId="6637169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-1.1565225</w:t>
            </w:r>
          </w:p>
        </w:tc>
        <w:tc>
          <w:tcPr>
            <w:tcW w:w="726" w:type="pct"/>
            <w:noWrap/>
            <w:vAlign w:val="bottom"/>
            <w:hideMark/>
          </w:tcPr>
          <w:p w14:paraId="6A6ADCA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0.248168224</w:t>
            </w:r>
          </w:p>
        </w:tc>
      </w:tr>
      <w:tr w:rsidR="00EA20CE" w:rsidRPr="00177EC9" w14:paraId="2A878EDC" w14:textId="77777777" w:rsidTr="00177EC9">
        <w:trPr>
          <w:trHeight w:val="288"/>
        </w:trPr>
        <w:tc>
          <w:tcPr>
            <w:tcW w:w="514" w:type="pct"/>
            <w:vMerge/>
            <w:vAlign w:val="center"/>
            <w:hideMark/>
          </w:tcPr>
          <w:p w14:paraId="284284C7"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1AEC9592"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pregnenolonesulfate</w:t>
            </w:r>
            <w:proofErr w:type="spellEnd"/>
          </w:p>
        </w:tc>
        <w:tc>
          <w:tcPr>
            <w:tcW w:w="763" w:type="pct"/>
            <w:noWrap/>
            <w:vAlign w:val="bottom"/>
            <w:hideMark/>
          </w:tcPr>
          <w:p w14:paraId="0132BC4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0.124506209</w:t>
            </w:r>
          </w:p>
        </w:tc>
        <w:tc>
          <w:tcPr>
            <w:tcW w:w="726" w:type="pct"/>
            <w:noWrap/>
            <w:vAlign w:val="bottom"/>
            <w:hideMark/>
          </w:tcPr>
          <w:p w14:paraId="126D0EF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0.084115688</w:t>
            </w:r>
          </w:p>
        </w:tc>
        <w:tc>
          <w:tcPr>
            <w:tcW w:w="667" w:type="pct"/>
            <w:noWrap/>
            <w:vAlign w:val="bottom"/>
            <w:hideMark/>
          </w:tcPr>
          <w:p w14:paraId="7CE4BFA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1.48017822</w:t>
            </w:r>
          </w:p>
        </w:tc>
        <w:tc>
          <w:tcPr>
            <w:tcW w:w="726" w:type="pct"/>
            <w:noWrap/>
            <w:vAlign w:val="bottom"/>
            <w:hideMark/>
          </w:tcPr>
          <w:p w14:paraId="6E9A24E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0.139624845</w:t>
            </w:r>
          </w:p>
        </w:tc>
      </w:tr>
      <w:tr w:rsidR="00EA20CE" w:rsidRPr="00177EC9" w14:paraId="33ED1291" w14:textId="77777777" w:rsidTr="00177EC9">
        <w:trPr>
          <w:trHeight w:val="288"/>
        </w:trPr>
        <w:tc>
          <w:tcPr>
            <w:tcW w:w="514" w:type="pct"/>
            <w:vMerge/>
            <w:vAlign w:val="center"/>
            <w:hideMark/>
          </w:tcPr>
          <w:p w14:paraId="2D806404"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3189BBFB" w14:textId="77777777" w:rsidR="00EA20CE" w:rsidRPr="00177EC9" w:rsidRDefault="00EA20CE" w:rsidP="00177EC9">
            <w:pPr>
              <w:spacing w:after="0" w:line="240" w:lineRule="auto"/>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progesterone</w:t>
            </w:r>
          </w:p>
        </w:tc>
        <w:tc>
          <w:tcPr>
            <w:tcW w:w="763" w:type="pct"/>
            <w:noWrap/>
            <w:vAlign w:val="bottom"/>
            <w:hideMark/>
          </w:tcPr>
          <w:p w14:paraId="0BFD4D73"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0.301563564</w:t>
            </w:r>
          </w:p>
        </w:tc>
        <w:tc>
          <w:tcPr>
            <w:tcW w:w="726" w:type="pct"/>
            <w:noWrap/>
            <w:vAlign w:val="bottom"/>
            <w:hideMark/>
          </w:tcPr>
          <w:p w14:paraId="0F90F046"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0.144619682</w:t>
            </w:r>
          </w:p>
        </w:tc>
        <w:tc>
          <w:tcPr>
            <w:tcW w:w="667" w:type="pct"/>
            <w:noWrap/>
            <w:vAlign w:val="bottom"/>
            <w:hideMark/>
          </w:tcPr>
          <w:p w14:paraId="465E6972"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2.085218</w:t>
            </w:r>
          </w:p>
        </w:tc>
        <w:tc>
          <w:tcPr>
            <w:tcW w:w="726" w:type="pct"/>
            <w:noWrap/>
            <w:vAlign w:val="bottom"/>
            <w:hideMark/>
          </w:tcPr>
          <w:p w14:paraId="2F002736"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0.03769267</w:t>
            </w:r>
          </w:p>
        </w:tc>
      </w:tr>
      <w:tr w:rsidR="00EA20CE" w:rsidRPr="00177EC9" w14:paraId="0B967428" w14:textId="77777777" w:rsidTr="00177EC9">
        <w:trPr>
          <w:trHeight w:val="288"/>
        </w:trPr>
        <w:tc>
          <w:tcPr>
            <w:tcW w:w="514" w:type="pct"/>
            <w:vMerge/>
            <w:vAlign w:val="center"/>
            <w:hideMark/>
          </w:tcPr>
          <w:p w14:paraId="28EE1740"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50FEAC2B"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testosterone</w:t>
            </w:r>
          </w:p>
        </w:tc>
        <w:tc>
          <w:tcPr>
            <w:tcW w:w="763" w:type="pct"/>
            <w:noWrap/>
            <w:vAlign w:val="bottom"/>
            <w:hideMark/>
          </w:tcPr>
          <w:p w14:paraId="551FD71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-0.172543318</w:t>
            </w:r>
          </w:p>
        </w:tc>
        <w:tc>
          <w:tcPr>
            <w:tcW w:w="726" w:type="pct"/>
            <w:noWrap/>
            <w:vAlign w:val="bottom"/>
            <w:hideMark/>
          </w:tcPr>
          <w:p w14:paraId="418C908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0.242660137</w:t>
            </w:r>
          </w:p>
        </w:tc>
        <w:tc>
          <w:tcPr>
            <w:tcW w:w="667" w:type="pct"/>
            <w:noWrap/>
            <w:vAlign w:val="bottom"/>
            <w:hideMark/>
          </w:tcPr>
          <w:p w14:paraId="4890B9A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-0.7110493</w:t>
            </w:r>
          </w:p>
        </w:tc>
        <w:tc>
          <w:tcPr>
            <w:tcW w:w="726" w:type="pct"/>
            <w:noWrap/>
            <w:vAlign w:val="bottom"/>
            <w:hideMark/>
          </w:tcPr>
          <w:p w14:paraId="732FCB4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0.47747441</w:t>
            </w:r>
          </w:p>
        </w:tc>
      </w:tr>
      <w:tr w:rsidR="00EA20CE" w:rsidRPr="00177EC9" w14:paraId="34A4FCEB" w14:textId="77777777" w:rsidTr="00177EC9">
        <w:trPr>
          <w:trHeight w:val="288"/>
        </w:trPr>
        <w:tc>
          <w:tcPr>
            <w:tcW w:w="514" w:type="pct"/>
            <w:vMerge w:val="restart"/>
            <w:noWrap/>
            <w:vAlign w:val="center"/>
            <w:hideMark/>
          </w:tcPr>
          <w:p w14:paraId="25F2E4B2" w14:textId="77777777" w:rsidR="00EA20CE" w:rsidRPr="00177EC9" w:rsidRDefault="00EA20CE" w:rsidP="00177EC9">
            <w:pPr>
              <w:spacing w:after="0" w:line="240" w:lineRule="auto"/>
              <w:jc w:val="center"/>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Females</w:t>
            </w:r>
          </w:p>
        </w:tc>
        <w:tc>
          <w:tcPr>
            <w:tcW w:w="1605" w:type="pct"/>
            <w:noWrap/>
            <w:vAlign w:val="bottom"/>
            <w:hideMark/>
          </w:tcPr>
          <w:p w14:paraId="723C430C"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deoxycortisol</w:t>
            </w:r>
            <w:proofErr w:type="spellEnd"/>
          </w:p>
        </w:tc>
        <w:tc>
          <w:tcPr>
            <w:tcW w:w="763" w:type="pct"/>
            <w:noWrap/>
            <w:vAlign w:val="bottom"/>
            <w:hideMark/>
          </w:tcPr>
          <w:p w14:paraId="0CE5210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-0.035232263</w:t>
            </w:r>
          </w:p>
        </w:tc>
        <w:tc>
          <w:tcPr>
            <w:tcW w:w="726" w:type="pct"/>
            <w:noWrap/>
            <w:vAlign w:val="bottom"/>
            <w:hideMark/>
          </w:tcPr>
          <w:p w14:paraId="4D306175"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0.125344131</w:t>
            </w:r>
          </w:p>
        </w:tc>
        <w:tc>
          <w:tcPr>
            <w:tcW w:w="667" w:type="pct"/>
            <w:noWrap/>
            <w:vAlign w:val="bottom"/>
            <w:hideMark/>
          </w:tcPr>
          <w:p w14:paraId="5417988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-0.2810843</w:t>
            </w:r>
          </w:p>
        </w:tc>
        <w:tc>
          <w:tcPr>
            <w:tcW w:w="726" w:type="pct"/>
            <w:noWrap/>
            <w:vAlign w:val="bottom"/>
            <w:hideMark/>
          </w:tcPr>
          <w:p w14:paraId="2843306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0.778876419</w:t>
            </w:r>
          </w:p>
        </w:tc>
      </w:tr>
      <w:tr w:rsidR="00EA20CE" w:rsidRPr="00177EC9" w14:paraId="5476872A" w14:textId="77777777" w:rsidTr="00177EC9">
        <w:trPr>
          <w:trHeight w:val="288"/>
        </w:trPr>
        <w:tc>
          <w:tcPr>
            <w:tcW w:w="514" w:type="pct"/>
            <w:vMerge/>
            <w:vAlign w:val="center"/>
            <w:hideMark/>
          </w:tcPr>
          <w:p w14:paraId="388795DE"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448D3EF7"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alphahydroxyprogesterone</w:t>
            </w:r>
            <w:proofErr w:type="spellEnd"/>
          </w:p>
        </w:tc>
        <w:tc>
          <w:tcPr>
            <w:tcW w:w="763" w:type="pct"/>
            <w:noWrap/>
            <w:vAlign w:val="bottom"/>
            <w:hideMark/>
          </w:tcPr>
          <w:p w14:paraId="79B550F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0.048871506</w:t>
            </w:r>
          </w:p>
        </w:tc>
        <w:tc>
          <w:tcPr>
            <w:tcW w:w="726" w:type="pct"/>
            <w:noWrap/>
            <w:vAlign w:val="bottom"/>
            <w:hideMark/>
          </w:tcPr>
          <w:p w14:paraId="3BF0C9C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0.216390345</w:t>
            </w:r>
          </w:p>
        </w:tc>
        <w:tc>
          <w:tcPr>
            <w:tcW w:w="667" w:type="pct"/>
            <w:noWrap/>
            <w:vAlign w:val="bottom"/>
            <w:hideMark/>
          </w:tcPr>
          <w:p w14:paraId="1F79EFC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0.22584883</w:t>
            </w:r>
          </w:p>
        </w:tc>
        <w:tc>
          <w:tcPr>
            <w:tcW w:w="726" w:type="pct"/>
            <w:noWrap/>
            <w:vAlign w:val="bottom"/>
            <w:hideMark/>
          </w:tcPr>
          <w:p w14:paraId="23F04AE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0.821502061</w:t>
            </w:r>
          </w:p>
        </w:tc>
      </w:tr>
      <w:tr w:rsidR="00EA20CE" w:rsidRPr="00177EC9" w14:paraId="6F73BFB8" w14:textId="77777777" w:rsidTr="00177EC9">
        <w:trPr>
          <w:trHeight w:val="288"/>
        </w:trPr>
        <w:tc>
          <w:tcPr>
            <w:tcW w:w="514" w:type="pct"/>
            <w:vMerge/>
            <w:vAlign w:val="center"/>
            <w:hideMark/>
          </w:tcPr>
          <w:p w14:paraId="622C2AC6"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5371E9EF"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hydroxycorticosterone</w:t>
            </w:r>
            <w:proofErr w:type="spellEnd"/>
          </w:p>
        </w:tc>
        <w:tc>
          <w:tcPr>
            <w:tcW w:w="763" w:type="pct"/>
            <w:noWrap/>
            <w:vAlign w:val="bottom"/>
            <w:hideMark/>
          </w:tcPr>
          <w:p w14:paraId="5428674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-0.041533981</w:t>
            </w:r>
          </w:p>
        </w:tc>
        <w:tc>
          <w:tcPr>
            <w:tcW w:w="726" w:type="pct"/>
            <w:noWrap/>
            <w:vAlign w:val="bottom"/>
            <w:hideMark/>
          </w:tcPr>
          <w:p w14:paraId="2D0E75B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0.166128828</w:t>
            </w:r>
          </w:p>
        </w:tc>
        <w:tc>
          <w:tcPr>
            <w:tcW w:w="667" w:type="pct"/>
            <w:noWrap/>
            <w:vAlign w:val="bottom"/>
            <w:hideMark/>
          </w:tcPr>
          <w:p w14:paraId="1EC5E6E9"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-0.2500107</w:t>
            </w:r>
          </w:p>
        </w:tc>
        <w:tc>
          <w:tcPr>
            <w:tcW w:w="726" w:type="pct"/>
            <w:noWrap/>
            <w:vAlign w:val="bottom"/>
            <w:hideMark/>
          </w:tcPr>
          <w:p w14:paraId="293849CB"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0.80278278</w:t>
            </w:r>
          </w:p>
        </w:tc>
      </w:tr>
      <w:tr w:rsidR="00EA20CE" w:rsidRPr="00177EC9" w14:paraId="4F7966C4" w14:textId="77777777" w:rsidTr="00177EC9">
        <w:trPr>
          <w:trHeight w:val="288"/>
        </w:trPr>
        <w:tc>
          <w:tcPr>
            <w:tcW w:w="514" w:type="pct"/>
            <w:vMerge/>
            <w:vAlign w:val="center"/>
            <w:hideMark/>
          </w:tcPr>
          <w:p w14:paraId="468EE0EB"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72576093"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aldosterone</w:t>
            </w:r>
          </w:p>
        </w:tc>
        <w:tc>
          <w:tcPr>
            <w:tcW w:w="763" w:type="pct"/>
            <w:noWrap/>
            <w:vAlign w:val="bottom"/>
            <w:hideMark/>
          </w:tcPr>
          <w:p w14:paraId="1D20D30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-0.141425282</w:t>
            </w:r>
          </w:p>
        </w:tc>
        <w:tc>
          <w:tcPr>
            <w:tcW w:w="726" w:type="pct"/>
            <w:noWrap/>
            <w:vAlign w:val="bottom"/>
            <w:hideMark/>
          </w:tcPr>
          <w:p w14:paraId="0F4B7A8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0.301044372</w:t>
            </w:r>
          </w:p>
        </w:tc>
        <w:tc>
          <w:tcPr>
            <w:tcW w:w="667" w:type="pct"/>
            <w:noWrap/>
            <w:vAlign w:val="bottom"/>
            <w:hideMark/>
          </w:tcPr>
          <w:p w14:paraId="5DA914A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-0.4697822</w:t>
            </w:r>
          </w:p>
        </w:tc>
        <w:tc>
          <w:tcPr>
            <w:tcW w:w="726" w:type="pct"/>
            <w:noWrap/>
            <w:vAlign w:val="bottom"/>
            <w:hideMark/>
          </w:tcPr>
          <w:p w14:paraId="3A89B1D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0.638916902</w:t>
            </w:r>
          </w:p>
        </w:tc>
      </w:tr>
      <w:tr w:rsidR="00EA20CE" w:rsidRPr="00177EC9" w14:paraId="2EF7B23E" w14:textId="77777777" w:rsidTr="00177EC9">
        <w:trPr>
          <w:trHeight w:val="288"/>
        </w:trPr>
        <w:tc>
          <w:tcPr>
            <w:tcW w:w="514" w:type="pct"/>
            <w:vMerge/>
            <w:vAlign w:val="center"/>
            <w:hideMark/>
          </w:tcPr>
          <w:p w14:paraId="7F68543A"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60742BE8"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androstenedione</w:t>
            </w:r>
          </w:p>
        </w:tc>
        <w:tc>
          <w:tcPr>
            <w:tcW w:w="763" w:type="pct"/>
            <w:noWrap/>
            <w:vAlign w:val="bottom"/>
            <w:hideMark/>
          </w:tcPr>
          <w:p w14:paraId="63C5406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0.126399618</w:t>
            </w:r>
          </w:p>
        </w:tc>
        <w:tc>
          <w:tcPr>
            <w:tcW w:w="726" w:type="pct"/>
            <w:noWrap/>
            <w:vAlign w:val="bottom"/>
            <w:hideMark/>
          </w:tcPr>
          <w:p w14:paraId="21451A3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0.166162983</w:t>
            </w:r>
          </w:p>
        </w:tc>
        <w:tc>
          <w:tcPr>
            <w:tcW w:w="667" w:type="pct"/>
            <w:noWrap/>
            <w:vAlign w:val="bottom"/>
            <w:hideMark/>
          </w:tcPr>
          <w:p w14:paraId="730CA06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0.76069661</w:t>
            </w:r>
          </w:p>
        </w:tc>
        <w:tc>
          <w:tcPr>
            <w:tcW w:w="726" w:type="pct"/>
            <w:noWrap/>
            <w:vAlign w:val="bottom"/>
            <w:hideMark/>
          </w:tcPr>
          <w:p w14:paraId="46726E2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0.447549476</w:t>
            </w:r>
          </w:p>
        </w:tc>
      </w:tr>
      <w:tr w:rsidR="00EA20CE" w:rsidRPr="00177EC9" w14:paraId="10F7D750" w14:textId="77777777" w:rsidTr="00177EC9">
        <w:trPr>
          <w:trHeight w:val="288"/>
        </w:trPr>
        <w:tc>
          <w:tcPr>
            <w:tcW w:w="514" w:type="pct"/>
            <w:vMerge/>
            <w:vAlign w:val="center"/>
            <w:hideMark/>
          </w:tcPr>
          <w:p w14:paraId="6F7DCE96"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486B3712"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corticosterone</w:t>
            </w:r>
          </w:p>
        </w:tc>
        <w:tc>
          <w:tcPr>
            <w:tcW w:w="763" w:type="pct"/>
            <w:noWrap/>
            <w:vAlign w:val="bottom"/>
            <w:hideMark/>
          </w:tcPr>
          <w:p w14:paraId="542C7AA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-0.083563661</w:t>
            </w:r>
          </w:p>
        </w:tc>
        <w:tc>
          <w:tcPr>
            <w:tcW w:w="726" w:type="pct"/>
            <w:noWrap/>
            <w:vAlign w:val="bottom"/>
            <w:hideMark/>
          </w:tcPr>
          <w:p w14:paraId="4969BBE5"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0.132218153</w:t>
            </w:r>
          </w:p>
        </w:tc>
        <w:tc>
          <w:tcPr>
            <w:tcW w:w="667" w:type="pct"/>
            <w:noWrap/>
            <w:vAlign w:val="bottom"/>
            <w:hideMark/>
          </w:tcPr>
          <w:p w14:paraId="785A239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-0.6320135</w:t>
            </w:r>
          </w:p>
        </w:tc>
        <w:tc>
          <w:tcPr>
            <w:tcW w:w="726" w:type="pct"/>
            <w:noWrap/>
            <w:vAlign w:val="bottom"/>
            <w:hideMark/>
          </w:tcPr>
          <w:p w14:paraId="3515660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0.527950991</w:t>
            </w:r>
          </w:p>
        </w:tc>
      </w:tr>
      <w:tr w:rsidR="00EA20CE" w:rsidRPr="00177EC9" w14:paraId="61EF615B" w14:textId="77777777" w:rsidTr="00177EC9">
        <w:trPr>
          <w:trHeight w:val="288"/>
        </w:trPr>
        <w:tc>
          <w:tcPr>
            <w:tcW w:w="514" w:type="pct"/>
            <w:vMerge/>
            <w:vAlign w:val="center"/>
            <w:hideMark/>
          </w:tcPr>
          <w:p w14:paraId="0F0BD775"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54554A3E"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cortisol</w:t>
            </w:r>
          </w:p>
        </w:tc>
        <w:tc>
          <w:tcPr>
            <w:tcW w:w="763" w:type="pct"/>
            <w:noWrap/>
            <w:vAlign w:val="bottom"/>
            <w:hideMark/>
          </w:tcPr>
          <w:p w14:paraId="670E02D7"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0.026870797</w:t>
            </w:r>
          </w:p>
        </w:tc>
        <w:tc>
          <w:tcPr>
            <w:tcW w:w="726" w:type="pct"/>
            <w:noWrap/>
            <w:vAlign w:val="bottom"/>
            <w:hideMark/>
          </w:tcPr>
          <w:p w14:paraId="1F8FD58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0.118421425</w:t>
            </w:r>
          </w:p>
        </w:tc>
        <w:tc>
          <w:tcPr>
            <w:tcW w:w="667" w:type="pct"/>
            <w:noWrap/>
            <w:vAlign w:val="bottom"/>
            <w:hideMark/>
          </w:tcPr>
          <w:p w14:paraId="6BFFC40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0.22690824</w:t>
            </w:r>
          </w:p>
        </w:tc>
        <w:tc>
          <w:tcPr>
            <w:tcW w:w="726" w:type="pct"/>
            <w:noWrap/>
            <w:vAlign w:val="bottom"/>
            <w:hideMark/>
          </w:tcPr>
          <w:p w14:paraId="4E1049E3"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0.820679056</w:t>
            </w:r>
          </w:p>
        </w:tc>
      </w:tr>
      <w:tr w:rsidR="00EA20CE" w:rsidRPr="00177EC9" w14:paraId="35E73EB2" w14:textId="77777777" w:rsidTr="00177EC9">
        <w:trPr>
          <w:trHeight w:val="288"/>
        </w:trPr>
        <w:tc>
          <w:tcPr>
            <w:tcW w:w="514" w:type="pct"/>
            <w:vMerge/>
            <w:vAlign w:val="center"/>
            <w:hideMark/>
          </w:tcPr>
          <w:p w14:paraId="3776BC5F"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612559F5" w14:textId="77777777" w:rsidR="00EA20CE" w:rsidRPr="00177EC9" w:rsidRDefault="00EA20CE" w:rsidP="00177EC9">
            <w:pPr>
              <w:spacing w:after="0" w:line="240" w:lineRule="auto"/>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cortisone</w:t>
            </w:r>
          </w:p>
        </w:tc>
        <w:tc>
          <w:tcPr>
            <w:tcW w:w="763" w:type="pct"/>
            <w:noWrap/>
            <w:vAlign w:val="bottom"/>
            <w:hideMark/>
          </w:tcPr>
          <w:p w14:paraId="70F8F6D9"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0.213009484</w:t>
            </w:r>
          </w:p>
        </w:tc>
        <w:tc>
          <w:tcPr>
            <w:tcW w:w="726" w:type="pct"/>
            <w:noWrap/>
            <w:vAlign w:val="bottom"/>
            <w:hideMark/>
          </w:tcPr>
          <w:p w14:paraId="1A22E3C9"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0.107662635</w:t>
            </w:r>
          </w:p>
        </w:tc>
        <w:tc>
          <w:tcPr>
            <w:tcW w:w="667" w:type="pct"/>
            <w:noWrap/>
            <w:vAlign w:val="bottom"/>
            <w:hideMark/>
          </w:tcPr>
          <w:p w14:paraId="478960B9"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1.97849036</w:t>
            </w:r>
          </w:p>
        </w:tc>
        <w:tc>
          <w:tcPr>
            <w:tcW w:w="726" w:type="pct"/>
            <w:noWrap/>
            <w:vAlign w:val="bottom"/>
            <w:hideMark/>
          </w:tcPr>
          <w:p w14:paraId="7C5076B7"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0.048962347</w:t>
            </w:r>
          </w:p>
        </w:tc>
      </w:tr>
      <w:tr w:rsidR="00EA20CE" w:rsidRPr="00177EC9" w14:paraId="15BDFB39" w14:textId="77777777" w:rsidTr="00177EC9">
        <w:trPr>
          <w:trHeight w:val="288"/>
        </w:trPr>
        <w:tc>
          <w:tcPr>
            <w:tcW w:w="514" w:type="pct"/>
            <w:vMerge/>
            <w:vAlign w:val="center"/>
            <w:hideMark/>
          </w:tcPr>
          <w:p w14:paraId="035D0204"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222314A5"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deoxycorticosterone</w:t>
            </w:r>
          </w:p>
        </w:tc>
        <w:tc>
          <w:tcPr>
            <w:tcW w:w="763" w:type="pct"/>
            <w:noWrap/>
            <w:vAlign w:val="bottom"/>
            <w:hideMark/>
          </w:tcPr>
          <w:p w14:paraId="36DBB27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0.06293653</w:t>
            </w:r>
          </w:p>
        </w:tc>
        <w:tc>
          <w:tcPr>
            <w:tcW w:w="726" w:type="pct"/>
            <w:noWrap/>
            <w:vAlign w:val="bottom"/>
            <w:hideMark/>
          </w:tcPr>
          <w:p w14:paraId="255A65B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0.126246379</w:t>
            </w:r>
          </w:p>
        </w:tc>
        <w:tc>
          <w:tcPr>
            <w:tcW w:w="667" w:type="pct"/>
            <w:noWrap/>
            <w:vAlign w:val="bottom"/>
            <w:hideMark/>
          </w:tcPr>
          <w:p w14:paraId="17FDA35C"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0.49852147</w:t>
            </w:r>
          </w:p>
        </w:tc>
        <w:tc>
          <w:tcPr>
            <w:tcW w:w="726" w:type="pct"/>
            <w:noWrap/>
            <w:vAlign w:val="bottom"/>
            <w:hideMark/>
          </w:tcPr>
          <w:p w14:paraId="7870AD87"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0.618551381</w:t>
            </w:r>
          </w:p>
        </w:tc>
      </w:tr>
      <w:tr w:rsidR="00EA20CE" w:rsidRPr="00177EC9" w14:paraId="0DE86B6A" w14:textId="77777777" w:rsidTr="00177EC9">
        <w:trPr>
          <w:trHeight w:val="288"/>
        </w:trPr>
        <w:tc>
          <w:tcPr>
            <w:tcW w:w="514" w:type="pct"/>
            <w:vMerge/>
            <w:vAlign w:val="center"/>
            <w:hideMark/>
          </w:tcPr>
          <w:p w14:paraId="345B71D4"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332AADBB"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dehydroepiandrosteronesulfate</w:t>
            </w:r>
            <w:proofErr w:type="spellEnd"/>
          </w:p>
        </w:tc>
        <w:tc>
          <w:tcPr>
            <w:tcW w:w="763" w:type="pct"/>
            <w:noWrap/>
            <w:vAlign w:val="bottom"/>
            <w:hideMark/>
          </w:tcPr>
          <w:p w14:paraId="07579F0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-0.054517436</w:t>
            </w:r>
          </w:p>
        </w:tc>
        <w:tc>
          <w:tcPr>
            <w:tcW w:w="726" w:type="pct"/>
            <w:noWrap/>
            <w:vAlign w:val="bottom"/>
            <w:hideMark/>
          </w:tcPr>
          <w:p w14:paraId="477B8217"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0.087901272</w:t>
            </w:r>
          </w:p>
        </w:tc>
        <w:tc>
          <w:tcPr>
            <w:tcW w:w="667" w:type="pct"/>
            <w:noWrap/>
            <w:vAlign w:val="bottom"/>
            <w:hideMark/>
          </w:tcPr>
          <w:p w14:paraId="683A83F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-0.6202121</w:t>
            </w:r>
          </w:p>
        </w:tc>
        <w:tc>
          <w:tcPr>
            <w:tcW w:w="726" w:type="pct"/>
            <w:noWrap/>
            <w:vAlign w:val="bottom"/>
            <w:hideMark/>
          </w:tcPr>
          <w:p w14:paraId="27E4C1B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0.535678574</w:t>
            </w:r>
          </w:p>
        </w:tc>
      </w:tr>
      <w:tr w:rsidR="00EA20CE" w:rsidRPr="00177EC9" w14:paraId="2A4394D4" w14:textId="77777777" w:rsidTr="00177EC9">
        <w:trPr>
          <w:trHeight w:val="288"/>
        </w:trPr>
        <w:tc>
          <w:tcPr>
            <w:tcW w:w="514" w:type="pct"/>
            <w:vMerge/>
            <w:vAlign w:val="center"/>
            <w:hideMark/>
          </w:tcPr>
          <w:p w14:paraId="286D847F"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0C80BE74"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estradiol</w:t>
            </w:r>
          </w:p>
        </w:tc>
        <w:tc>
          <w:tcPr>
            <w:tcW w:w="763" w:type="pct"/>
            <w:noWrap/>
            <w:vAlign w:val="bottom"/>
            <w:hideMark/>
          </w:tcPr>
          <w:p w14:paraId="4217121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-0.046326181</w:t>
            </w:r>
          </w:p>
        </w:tc>
        <w:tc>
          <w:tcPr>
            <w:tcW w:w="726" w:type="pct"/>
            <w:noWrap/>
            <w:vAlign w:val="bottom"/>
            <w:hideMark/>
          </w:tcPr>
          <w:p w14:paraId="0A1E3E8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0.287055032</w:t>
            </w:r>
          </w:p>
        </w:tc>
        <w:tc>
          <w:tcPr>
            <w:tcW w:w="667" w:type="pct"/>
            <w:noWrap/>
            <w:vAlign w:val="bottom"/>
            <w:hideMark/>
          </w:tcPr>
          <w:p w14:paraId="455059D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-0.1613843</w:t>
            </w:r>
          </w:p>
        </w:tc>
        <w:tc>
          <w:tcPr>
            <w:tcW w:w="726" w:type="pct"/>
            <w:noWrap/>
            <w:vAlign w:val="bottom"/>
            <w:hideMark/>
          </w:tcPr>
          <w:p w14:paraId="36926BF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0.871920026</w:t>
            </w:r>
          </w:p>
        </w:tc>
      </w:tr>
      <w:tr w:rsidR="00EA20CE" w:rsidRPr="00177EC9" w14:paraId="755742A1" w14:textId="77777777" w:rsidTr="00177EC9">
        <w:trPr>
          <w:trHeight w:val="288"/>
        </w:trPr>
        <w:tc>
          <w:tcPr>
            <w:tcW w:w="514" w:type="pct"/>
            <w:vMerge/>
            <w:vAlign w:val="center"/>
            <w:hideMark/>
          </w:tcPr>
          <w:p w14:paraId="7DB15D28"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184FC710"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estrone</w:t>
            </w:r>
          </w:p>
        </w:tc>
        <w:tc>
          <w:tcPr>
            <w:tcW w:w="763" w:type="pct"/>
            <w:noWrap/>
            <w:vAlign w:val="bottom"/>
            <w:hideMark/>
          </w:tcPr>
          <w:p w14:paraId="47946A4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-0.181018081</w:t>
            </w:r>
          </w:p>
        </w:tc>
        <w:tc>
          <w:tcPr>
            <w:tcW w:w="726" w:type="pct"/>
            <w:noWrap/>
            <w:vAlign w:val="bottom"/>
            <w:hideMark/>
          </w:tcPr>
          <w:p w14:paraId="23BE3236"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0.255609224</w:t>
            </w:r>
          </w:p>
        </w:tc>
        <w:tc>
          <w:tcPr>
            <w:tcW w:w="667" w:type="pct"/>
            <w:noWrap/>
            <w:vAlign w:val="bottom"/>
            <w:hideMark/>
          </w:tcPr>
          <w:p w14:paraId="5299043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-0.7081829</w:t>
            </w:r>
          </w:p>
        </w:tc>
        <w:tc>
          <w:tcPr>
            <w:tcW w:w="726" w:type="pct"/>
            <w:noWrap/>
            <w:vAlign w:val="bottom"/>
            <w:hideMark/>
          </w:tcPr>
          <w:p w14:paraId="5344114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0.479486204</w:t>
            </w:r>
          </w:p>
        </w:tc>
      </w:tr>
      <w:tr w:rsidR="00EA20CE" w:rsidRPr="00177EC9" w14:paraId="50E16913" w14:textId="77777777" w:rsidTr="00177EC9">
        <w:trPr>
          <w:trHeight w:val="288"/>
        </w:trPr>
        <w:tc>
          <w:tcPr>
            <w:tcW w:w="514" w:type="pct"/>
            <w:vMerge/>
            <w:vAlign w:val="center"/>
            <w:hideMark/>
          </w:tcPr>
          <w:p w14:paraId="2FA40E07"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43BAFFFB" w14:textId="77777777" w:rsidR="00EA20CE" w:rsidRPr="00177EC9" w:rsidRDefault="00EA20CE" w:rsidP="00177EC9">
            <w:pPr>
              <w:spacing w:after="0" w:line="240" w:lineRule="auto"/>
              <w:rPr>
                <w:rFonts w:eastAsia="Times New Roman" w:cs="Calibri"/>
                <w:color w:val="000000"/>
                <w:kern w:val="0"/>
                <w:sz w:val="22"/>
                <w:szCs w:val="22"/>
                <w14:ligatures w14:val="none"/>
              </w:rPr>
            </w:pPr>
            <w:proofErr w:type="spellStart"/>
            <w:r w:rsidRPr="00177EC9">
              <w:rPr>
                <w:rFonts w:eastAsia="Times New Roman" w:cs="Calibri"/>
                <w:color w:val="000000"/>
                <w:kern w:val="0"/>
                <w:sz w:val="22"/>
                <w:szCs w:val="22"/>
                <w14:ligatures w14:val="none"/>
              </w:rPr>
              <w:t>estronesulfate</w:t>
            </w:r>
            <w:proofErr w:type="spellEnd"/>
          </w:p>
        </w:tc>
        <w:tc>
          <w:tcPr>
            <w:tcW w:w="763" w:type="pct"/>
            <w:noWrap/>
            <w:vAlign w:val="bottom"/>
            <w:hideMark/>
          </w:tcPr>
          <w:p w14:paraId="77FB071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-0.314719132</w:t>
            </w:r>
          </w:p>
        </w:tc>
        <w:tc>
          <w:tcPr>
            <w:tcW w:w="726" w:type="pct"/>
            <w:noWrap/>
            <w:vAlign w:val="bottom"/>
            <w:hideMark/>
          </w:tcPr>
          <w:p w14:paraId="744AEA91"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0.295454355</w:t>
            </w:r>
          </w:p>
        </w:tc>
        <w:tc>
          <w:tcPr>
            <w:tcW w:w="667" w:type="pct"/>
            <w:noWrap/>
            <w:vAlign w:val="bottom"/>
            <w:hideMark/>
          </w:tcPr>
          <w:p w14:paraId="7915C352"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-1.0652039</w:t>
            </w:r>
          </w:p>
        </w:tc>
        <w:tc>
          <w:tcPr>
            <w:tcW w:w="726" w:type="pct"/>
            <w:noWrap/>
            <w:vAlign w:val="bottom"/>
            <w:hideMark/>
          </w:tcPr>
          <w:p w14:paraId="52F30A5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0.287803208</w:t>
            </w:r>
          </w:p>
        </w:tc>
      </w:tr>
      <w:tr w:rsidR="00EA20CE" w:rsidRPr="00177EC9" w14:paraId="0B304185" w14:textId="77777777" w:rsidTr="00177EC9">
        <w:trPr>
          <w:trHeight w:val="288"/>
        </w:trPr>
        <w:tc>
          <w:tcPr>
            <w:tcW w:w="514" w:type="pct"/>
            <w:vMerge/>
            <w:vAlign w:val="center"/>
            <w:hideMark/>
          </w:tcPr>
          <w:p w14:paraId="7288EF31"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0A4D1D38" w14:textId="77777777" w:rsidR="00EA20CE" w:rsidRPr="00177EC9" w:rsidRDefault="00EA20CE" w:rsidP="00177EC9">
            <w:pPr>
              <w:spacing w:after="0" w:line="240" w:lineRule="auto"/>
              <w:rPr>
                <w:rFonts w:eastAsia="Times New Roman" w:cs="Calibri"/>
                <w:b/>
                <w:bCs/>
                <w:color w:val="000000"/>
                <w:kern w:val="0"/>
                <w:sz w:val="22"/>
                <w:szCs w:val="22"/>
                <w14:ligatures w14:val="none"/>
              </w:rPr>
            </w:pPr>
            <w:proofErr w:type="spellStart"/>
            <w:r w:rsidRPr="00177EC9">
              <w:rPr>
                <w:rFonts w:eastAsia="Times New Roman" w:cs="Calibri"/>
                <w:b/>
                <w:bCs/>
                <w:color w:val="000000"/>
                <w:kern w:val="0"/>
                <w:sz w:val="22"/>
                <w:szCs w:val="22"/>
                <w14:ligatures w14:val="none"/>
              </w:rPr>
              <w:t>pregnenolonesulfate</w:t>
            </w:r>
            <w:proofErr w:type="spellEnd"/>
          </w:p>
        </w:tc>
        <w:tc>
          <w:tcPr>
            <w:tcW w:w="763" w:type="pct"/>
            <w:noWrap/>
            <w:vAlign w:val="bottom"/>
            <w:hideMark/>
          </w:tcPr>
          <w:p w14:paraId="4B66AEE8"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-0.241176904</w:t>
            </w:r>
          </w:p>
        </w:tc>
        <w:tc>
          <w:tcPr>
            <w:tcW w:w="726" w:type="pct"/>
            <w:noWrap/>
            <w:vAlign w:val="bottom"/>
            <w:hideMark/>
          </w:tcPr>
          <w:p w14:paraId="3D50D1A6"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0.120678059</w:t>
            </w:r>
          </w:p>
        </w:tc>
        <w:tc>
          <w:tcPr>
            <w:tcW w:w="667" w:type="pct"/>
            <w:noWrap/>
            <w:vAlign w:val="bottom"/>
            <w:hideMark/>
          </w:tcPr>
          <w:p w14:paraId="60879F33"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-1.9985149</w:t>
            </w:r>
          </w:p>
        </w:tc>
        <w:tc>
          <w:tcPr>
            <w:tcW w:w="726" w:type="pct"/>
            <w:noWrap/>
            <w:vAlign w:val="bottom"/>
            <w:hideMark/>
          </w:tcPr>
          <w:p w14:paraId="4DF355D2" w14:textId="77777777" w:rsidR="00EA20CE" w:rsidRPr="00177EC9" w:rsidRDefault="00EA20CE" w:rsidP="00177EC9">
            <w:pPr>
              <w:spacing w:after="0" w:line="240" w:lineRule="auto"/>
              <w:jc w:val="right"/>
              <w:rPr>
                <w:rFonts w:eastAsia="Times New Roman" w:cs="Calibri"/>
                <w:b/>
                <w:bCs/>
                <w:color w:val="000000"/>
                <w:kern w:val="0"/>
                <w:sz w:val="22"/>
                <w:szCs w:val="22"/>
                <w14:ligatures w14:val="none"/>
              </w:rPr>
            </w:pPr>
            <w:r w:rsidRPr="00177EC9">
              <w:rPr>
                <w:rFonts w:eastAsia="Times New Roman" w:cs="Calibri"/>
                <w:b/>
                <w:bCs/>
                <w:color w:val="000000"/>
                <w:kern w:val="0"/>
                <w:sz w:val="22"/>
                <w:szCs w:val="22"/>
                <w14:ligatures w14:val="none"/>
              </w:rPr>
              <w:t>0.046735201</w:t>
            </w:r>
          </w:p>
        </w:tc>
      </w:tr>
      <w:tr w:rsidR="00EA20CE" w:rsidRPr="00177EC9" w14:paraId="49ED3F59" w14:textId="77777777" w:rsidTr="00177EC9">
        <w:trPr>
          <w:trHeight w:val="288"/>
        </w:trPr>
        <w:tc>
          <w:tcPr>
            <w:tcW w:w="514" w:type="pct"/>
            <w:vMerge/>
            <w:vAlign w:val="center"/>
            <w:hideMark/>
          </w:tcPr>
          <w:p w14:paraId="554E31D4"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33DA79CB"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progesterone</w:t>
            </w:r>
          </w:p>
        </w:tc>
        <w:tc>
          <w:tcPr>
            <w:tcW w:w="763" w:type="pct"/>
            <w:noWrap/>
            <w:vAlign w:val="bottom"/>
            <w:hideMark/>
          </w:tcPr>
          <w:p w14:paraId="5F7F2A2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0.213767412</w:t>
            </w:r>
          </w:p>
        </w:tc>
        <w:tc>
          <w:tcPr>
            <w:tcW w:w="726" w:type="pct"/>
            <w:noWrap/>
            <w:vAlign w:val="bottom"/>
            <w:hideMark/>
          </w:tcPr>
          <w:p w14:paraId="2C81DA7D"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0.764346698</w:t>
            </w:r>
          </w:p>
        </w:tc>
        <w:tc>
          <w:tcPr>
            <w:tcW w:w="667" w:type="pct"/>
            <w:noWrap/>
            <w:vAlign w:val="bottom"/>
            <w:hideMark/>
          </w:tcPr>
          <w:p w14:paraId="0CA7B498"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0.27967336</w:t>
            </w:r>
          </w:p>
        </w:tc>
        <w:tc>
          <w:tcPr>
            <w:tcW w:w="726" w:type="pct"/>
            <w:noWrap/>
            <w:vAlign w:val="bottom"/>
            <w:hideMark/>
          </w:tcPr>
          <w:p w14:paraId="18C7F420"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0.779957532</w:t>
            </w:r>
          </w:p>
        </w:tc>
      </w:tr>
      <w:tr w:rsidR="00EA20CE" w:rsidRPr="00177EC9" w14:paraId="594EBC8C" w14:textId="77777777" w:rsidTr="00177EC9">
        <w:trPr>
          <w:trHeight w:val="288"/>
        </w:trPr>
        <w:tc>
          <w:tcPr>
            <w:tcW w:w="514" w:type="pct"/>
            <w:vMerge/>
            <w:vAlign w:val="center"/>
            <w:hideMark/>
          </w:tcPr>
          <w:p w14:paraId="2DA41D5D" w14:textId="77777777" w:rsidR="00EA20CE" w:rsidRPr="00177EC9" w:rsidRDefault="00EA20CE" w:rsidP="00177EC9">
            <w:pPr>
              <w:spacing w:after="0" w:line="240" w:lineRule="auto"/>
              <w:rPr>
                <w:rFonts w:eastAsia="Times New Roman" w:cs="Calibri"/>
                <w:color w:val="000000"/>
                <w:kern w:val="0"/>
                <w:sz w:val="22"/>
                <w:szCs w:val="22"/>
                <w14:ligatures w14:val="none"/>
              </w:rPr>
            </w:pPr>
          </w:p>
        </w:tc>
        <w:tc>
          <w:tcPr>
            <w:tcW w:w="1605" w:type="pct"/>
            <w:noWrap/>
            <w:vAlign w:val="bottom"/>
            <w:hideMark/>
          </w:tcPr>
          <w:p w14:paraId="0C073F12" w14:textId="77777777" w:rsidR="00EA20CE" w:rsidRPr="00177EC9" w:rsidRDefault="00EA20CE" w:rsidP="00177EC9">
            <w:pPr>
              <w:spacing w:after="0" w:line="240" w:lineRule="auto"/>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testosterone</w:t>
            </w:r>
          </w:p>
        </w:tc>
        <w:tc>
          <w:tcPr>
            <w:tcW w:w="763" w:type="pct"/>
            <w:noWrap/>
            <w:vAlign w:val="bottom"/>
            <w:hideMark/>
          </w:tcPr>
          <w:p w14:paraId="0D0B578E"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0.009567604</w:t>
            </w:r>
          </w:p>
        </w:tc>
        <w:tc>
          <w:tcPr>
            <w:tcW w:w="726" w:type="pct"/>
            <w:noWrap/>
            <w:vAlign w:val="bottom"/>
            <w:hideMark/>
          </w:tcPr>
          <w:p w14:paraId="072A970A"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0.218269242</w:t>
            </w:r>
          </w:p>
        </w:tc>
        <w:tc>
          <w:tcPr>
            <w:tcW w:w="667" w:type="pct"/>
            <w:noWrap/>
            <w:vAlign w:val="bottom"/>
            <w:hideMark/>
          </w:tcPr>
          <w:p w14:paraId="07F113CF"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0.04383395</w:t>
            </w:r>
          </w:p>
        </w:tc>
        <w:tc>
          <w:tcPr>
            <w:tcW w:w="726" w:type="pct"/>
            <w:noWrap/>
            <w:vAlign w:val="bottom"/>
            <w:hideMark/>
          </w:tcPr>
          <w:p w14:paraId="46919004" w14:textId="77777777" w:rsidR="00EA20CE" w:rsidRPr="00177EC9" w:rsidRDefault="00EA20CE" w:rsidP="00177EC9">
            <w:pPr>
              <w:spacing w:after="0" w:line="240" w:lineRule="auto"/>
              <w:jc w:val="right"/>
              <w:rPr>
                <w:rFonts w:eastAsia="Times New Roman" w:cs="Calibri"/>
                <w:color w:val="000000"/>
                <w:kern w:val="0"/>
                <w:sz w:val="22"/>
                <w:szCs w:val="22"/>
                <w14:ligatures w14:val="none"/>
              </w:rPr>
            </w:pPr>
            <w:r w:rsidRPr="00177EC9">
              <w:rPr>
                <w:rFonts w:eastAsia="Times New Roman" w:cs="Calibri"/>
                <w:color w:val="000000"/>
                <w:kern w:val="0"/>
                <w:sz w:val="22"/>
                <w:szCs w:val="22"/>
                <w14:ligatures w14:val="none"/>
              </w:rPr>
              <w:t>0.965071475</w:t>
            </w:r>
          </w:p>
        </w:tc>
      </w:tr>
    </w:tbl>
    <w:p w14:paraId="2DAB1AF8" w14:textId="77777777" w:rsidR="00177EC9" w:rsidRPr="00177EC9" w:rsidRDefault="00A64C26" w:rsidP="00177EC9">
      <w:pPr>
        <w:jc w:val="both"/>
      </w:pPr>
      <w:r w:rsidRPr="00177EC9">
        <w:rPr>
          <w:b/>
          <w:bCs/>
        </w:rPr>
        <w:t>Supplementa</w:t>
      </w:r>
      <w:r w:rsidR="006469F6" w:rsidRPr="00177EC9">
        <w:rPr>
          <w:b/>
          <w:bCs/>
        </w:rPr>
        <w:t>ry</w:t>
      </w:r>
      <w:r w:rsidRPr="00177EC9">
        <w:rPr>
          <w:b/>
          <w:bCs/>
        </w:rPr>
        <w:t xml:space="preserve"> Table 2:</w:t>
      </w:r>
      <w:r w:rsidR="00ED6D83" w:rsidRPr="00177EC9">
        <w:rPr>
          <w:b/>
          <w:bCs/>
        </w:rPr>
        <w:t xml:space="preserve"> </w:t>
      </w:r>
      <w:r w:rsidR="00DF55D4" w:rsidRPr="00177EC9">
        <w:t xml:space="preserve">Results from testing the homogeneity of slopes assumption for ANCOVA models, stratified by sex. The interaction term (ICS x </w:t>
      </w:r>
      <w:r w:rsidR="008F4F59" w:rsidRPr="00177EC9">
        <w:t>baseline</w:t>
      </w:r>
      <w:r w:rsidR="005D55A3" w:rsidRPr="00177EC9">
        <w:t xml:space="preserve"> metabolite) </w:t>
      </w:r>
      <w:r w:rsidR="00351B3F" w:rsidRPr="00177EC9">
        <w:t>tests whether the baseline-endpoint relationship differs between trea</w:t>
      </w:r>
      <w:r w:rsidR="00EA20CE" w:rsidRPr="00177EC9">
        <w:t xml:space="preserve">tment </w:t>
      </w:r>
      <w:r w:rsidR="007B29C4" w:rsidRPr="00177EC9">
        <w:t xml:space="preserve">groups. Significant interactions (p &lt; 0.05, bolded) </w:t>
      </w:r>
      <w:r w:rsidR="0034673C" w:rsidRPr="00177EC9">
        <w:t>indicate heterogenous slopes, violating the standard ANCOVA assumption</w:t>
      </w:r>
      <w:r w:rsidR="0082591A" w:rsidRPr="00177EC9">
        <w:t>. Non-significant interactions indicate homogenous slopes</w:t>
      </w:r>
      <w:r w:rsidR="00991683" w:rsidRPr="00177EC9">
        <w:t xml:space="preserve"> satisfying </w:t>
      </w:r>
      <w:r w:rsidR="00177EC9" w:rsidRPr="00177EC9">
        <w:t>ANCOVA assumption.</w:t>
      </w:r>
    </w:p>
    <w:p w14:paraId="6F6C6541" w14:textId="18366082" w:rsidR="00177EC9" w:rsidRDefault="00177EC9" w:rsidP="18C60885"/>
    <w:p w14:paraId="120C9259" w14:textId="66CC9105" w:rsidR="18C60885" w:rsidRDefault="18C60885" w:rsidP="18C60885">
      <w:pPr>
        <w:rPr>
          <w:rFonts w:asciiTheme="majorHAnsi" w:hAnsiTheme="majorHAnsi"/>
          <w:b/>
          <w:bCs/>
        </w:rPr>
      </w:pPr>
    </w:p>
    <w:p w14:paraId="6A170D3D" w14:textId="77777777" w:rsidR="00177EC9" w:rsidRPr="00177EC9" w:rsidRDefault="00177EC9" w:rsidP="00177EC9">
      <w:pPr>
        <w:pStyle w:val="NormalWeb"/>
        <w:spacing w:before="0" w:beforeAutospacing="0" w:after="0" w:afterAutospacing="0"/>
        <w:jc w:val="both"/>
        <w:rPr>
          <w:rStyle w:val="Strong"/>
          <w:rFonts w:asciiTheme="minorHAnsi" w:hAnsiTheme="minorHAnsi"/>
          <w:b w:val="0"/>
          <w:bCs w:val="0"/>
          <w:color w:val="0E101A"/>
        </w:rPr>
      </w:pPr>
      <w:r w:rsidRPr="00177EC9">
        <w:rPr>
          <w:rFonts w:asciiTheme="minorHAnsi" w:hAnsiTheme="minorHAnsi"/>
          <w:b/>
          <w:bCs/>
        </w:rPr>
        <w:lastRenderedPageBreak/>
        <w:t xml:space="preserve">Supplementary Figure 1. </w:t>
      </w:r>
      <w:r w:rsidRPr="00177EC9">
        <w:rPr>
          <w:rStyle w:val="Strong"/>
          <w:rFonts w:asciiTheme="minorHAnsi" w:eastAsiaTheme="majorEastAsia" w:hAnsiTheme="minorHAnsi"/>
          <w:color w:val="0E101A"/>
        </w:rPr>
        <w:t xml:space="preserve">Longitudinal associations between ICS exposure and circulating steroid metabolites in children with asthma. </w:t>
      </w:r>
      <w:r w:rsidRPr="00177EC9">
        <w:rPr>
          <w:rFonts w:asciiTheme="minorHAnsi" w:hAnsiTheme="minorHAnsi"/>
          <w:color w:val="0E101A"/>
        </w:rPr>
        <w:t>(A–B) Results from the combined cohort analysis. (A) Main effect (i.e., effect at preintervention) of ICS exposure on circulating steroid metabolite levels estimated from a linear mixed model with metabolite at preintervention adjusted for. (B) Interaction effect between ICS use and time (baseline to Year 4), representing differential metabolite trajectories between ICS users and non-users, adjusted for baseline metabolite levels. (C-D) Sex-stratified analyses showing the corresponding effects in males and females. (C) Main effect of ICS exposure. (D) ICS × time interaction representing differential longitudinal changes.  ** indicates p &lt; 0.05; * indicates p &lt; 0.10.</w:t>
      </w:r>
    </w:p>
    <w:p w14:paraId="26A41B22" w14:textId="77777777" w:rsidR="00177EC9" w:rsidRDefault="00177EC9" w:rsidP="18C60885">
      <w:pPr>
        <w:rPr>
          <w:rFonts w:asciiTheme="majorHAnsi" w:hAnsiTheme="majorHAnsi"/>
          <w:b/>
          <w:bCs/>
        </w:rPr>
      </w:pPr>
    </w:p>
    <w:p w14:paraId="4F8B6E5A" w14:textId="7524FA52" w:rsidR="18C60885" w:rsidRDefault="006C4975" w:rsidP="18C60885">
      <w:pPr>
        <w:rPr>
          <w:rFonts w:asciiTheme="majorHAnsi" w:hAnsiTheme="majorHAnsi"/>
          <w:b/>
          <w:bCs/>
        </w:rPr>
      </w:pPr>
      <w:r w:rsidRPr="00F209D1">
        <w:rPr>
          <w:rFonts w:asciiTheme="majorHAnsi" w:hAnsiTheme="majorHAnsi"/>
          <w:b/>
          <w:bCs/>
          <w:noProof/>
        </w:rPr>
        <w:drawing>
          <wp:anchor distT="0" distB="0" distL="114300" distR="114300" simplePos="0" relativeHeight="251661314" behindDoc="1" locked="0" layoutInCell="1" allowOverlap="1" wp14:anchorId="4A15DE17" wp14:editId="47BE830A">
            <wp:simplePos x="0" y="0"/>
            <wp:positionH relativeFrom="column">
              <wp:posOffset>397722</wp:posOffset>
            </wp:positionH>
            <wp:positionV relativeFrom="paragraph">
              <wp:posOffset>423</wp:posOffset>
            </wp:positionV>
            <wp:extent cx="4902200" cy="5637530"/>
            <wp:effectExtent l="0" t="0" r="0" b="1270"/>
            <wp:wrapTight wrapText="bothSides">
              <wp:wrapPolygon edited="0">
                <wp:start x="0" y="0"/>
                <wp:lineTo x="0" y="21532"/>
                <wp:lineTo x="21488" y="21532"/>
                <wp:lineTo x="21488" y="0"/>
                <wp:lineTo x="0" y="0"/>
              </wp:wrapPolygon>
            </wp:wrapTight>
            <wp:docPr id="127572888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28883" name="Picture 1" descr="A screenshot of a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2200" cy="5637530"/>
                    </a:xfrm>
                    <a:prstGeom prst="rect">
                      <a:avLst/>
                    </a:prstGeom>
                  </pic:spPr>
                </pic:pic>
              </a:graphicData>
            </a:graphic>
          </wp:anchor>
        </w:drawing>
      </w:r>
    </w:p>
    <w:p w14:paraId="785A9131" w14:textId="7CD7A8B3" w:rsidR="18C60885" w:rsidRDefault="18C60885" w:rsidP="18C60885">
      <w:pPr>
        <w:rPr>
          <w:rFonts w:asciiTheme="majorHAnsi" w:hAnsiTheme="majorHAnsi"/>
          <w:b/>
          <w:bCs/>
        </w:rPr>
      </w:pPr>
    </w:p>
    <w:p w14:paraId="4952E100" w14:textId="4BEB7A8B" w:rsidR="18C60885" w:rsidRDefault="18C60885" w:rsidP="18C60885">
      <w:pPr>
        <w:rPr>
          <w:rFonts w:asciiTheme="majorHAnsi" w:hAnsiTheme="majorHAnsi"/>
          <w:b/>
          <w:bCs/>
        </w:rPr>
      </w:pPr>
    </w:p>
    <w:p w14:paraId="24282EDC" w14:textId="46A0B8B0" w:rsidR="002D3653" w:rsidRDefault="002D3653">
      <w:pPr>
        <w:rPr>
          <w:rFonts w:asciiTheme="majorHAnsi" w:hAnsiTheme="majorHAnsi"/>
          <w:b/>
          <w:bCs/>
        </w:rPr>
      </w:pPr>
      <w:r w:rsidRPr="002D3653">
        <w:rPr>
          <w:rFonts w:asciiTheme="majorHAnsi" w:hAnsiTheme="majorHAnsi"/>
          <w:b/>
          <w:bCs/>
        </w:rPr>
        <w:t xml:space="preserve"> </w:t>
      </w:r>
      <w:r w:rsidR="00474695">
        <w:rPr>
          <w:rFonts w:asciiTheme="majorHAnsi" w:hAnsiTheme="majorHAnsi"/>
          <w:b/>
          <w:bCs/>
        </w:rPr>
        <w:t xml:space="preserve">                                                                                                                    </w:t>
      </w:r>
    </w:p>
    <w:p w14:paraId="36F3CC18" w14:textId="77777777" w:rsidR="00FD4D51" w:rsidRDefault="00FD4D51">
      <w:pPr>
        <w:rPr>
          <w:rFonts w:asciiTheme="majorHAnsi" w:hAnsiTheme="majorHAnsi"/>
          <w:b/>
          <w:bCs/>
        </w:rPr>
      </w:pPr>
    </w:p>
    <w:p w14:paraId="2FF9CA47" w14:textId="53475249" w:rsidR="00E945A1" w:rsidRPr="006148FA" w:rsidRDefault="00E945A1">
      <w:pPr>
        <w:rPr>
          <w:rFonts w:asciiTheme="majorHAnsi" w:hAnsiTheme="majorHAnsi"/>
        </w:rPr>
      </w:pPr>
    </w:p>
    <w:p w14:paraId="3683894E" w14:textId="4FB16CA4" w:rsidR="00E945A1" w:rsidRDefault="00474695">
      <w:pPr>
        <w:rPr>
          <w:rFonts w:asciiTheme="majorHAnsi" w:hAnsiTheme="majorHAnsi"/>
          <w:b/>
          <w:bCs/>
        </w:rPr>
      </w:pPr>
      <w:r>
        <w:rPr>
          <w:rFonts w:asciiTheme="majorHAnsi" w:hAnsiTheme="majorHAnsi"/>
          <w:b/>
          <w:bCs/>
        </w:rPr>
        <w:t xml:space="preserve">                                                                                                                     </w:t>
      </w:r>
    </w:p>
    <w:p w14:paraId="70DC6499" w14:textId="77777777" w:rsidR="00DC5DF6" w:rsidRDefault="00DC5DF6">
      <w:pPr>
        <w:rPr>
          <w:rFonts w:asciiTheme="majorHAnsi" w:hAnsiTheme="majorHAnsi"/>
          <w:b/>
          <w:bCs/>
        </w:rPr>
      </w:pPr>
    </w:p>
    <w:p w14:paraId="37CC6371" w14:textId="77777777" w:rsidR="00DC5DF6" w:rsidRDefault="00DC5DF6">
      <w:pPr>
        <w:rPr>
          <w:rFonts w:asciiTheme="majorHAnsi" w:hAnsiTheme="majorHAnsi"/>
          <w:b/>
          <w:bCs/>
        </w:rPr>
      </w:pPr>
    </w:p>
    <w:p w14:paraId="6FF9D9C0" w14:textId="77777777" w:rsidR="00DC5DF6" w:rsidRDefault="00DC5DF6">
      <w:pPr>
        <w:rPr>
          <w:rFonts w:asciiTheme="majorHAnsi" w:hAnsiTheme="majorHAnsi"/>
          <w:b/>
          <w:bCs/>
        </w:rPr>
      </w:pPr>
    </w:p>
    <w:p w14:paraId="72CE820A" w14:textId="77777777" w:rsidR="00DC5DF6" w:rsidRDefault="00DC5DF6">
      <w:pPr>
        <w:rPr>
          <w:rFonts w:asciiTheme="majorHAnsi" w:hAnsiTheme="majorHAnsi"/>
          <w:b/>
          <w:bCs/>
        </w:rPr>
      </w:pPr>
    </w:p>
    <w:p w14:paraId="2C49D102" w14:textId="77777777" w:rsidR="00DC5DF6" w:rsidRDefault="00DC5DF6">
      <w:pPr>
        <w:rPr>
          <w:rFonts w:asciiTheme="majorHAnsi" w:hAnsiTheme="majorHAnsi"/>
          <w:b/>
          <w:bCs/>
        </w:rPr>
      </w:pPr>
    </w:p>
    <w:p w14:paraId="14D58A1D" w14:textId="77777777" w:rsidR="00DC5DF6" w:rsidRDefault="00DC5DF6">
      <w:pPr>
        <w:rPr>
          <w:rFonts w:asciiTheme="majorHAnsi" w:hAnsiTheme="majorHAnsi"/>
          <w:b/>
          <w:bCs/>
        </w:rPr>
      </w:pPr>
    </w:p>
    <w:p w14:paraId="6FF6C1BE" w14:textId="77777777" w:rsidR="00DC5DF6" w:rsidRDefault="00DC5DF6">
      <w:pPr>
        <w:rPr>
          <w:rFonts w:asciiTheme="majorHAnsi" w:hAnsiTheme="majorHAnsi"/>
          <w:b/>
          <w:bCs/>
        </w:rPr>
      </w:pPr>
    </w:p>
    <w:p w14:paraId="34208EC9" w14:textId="77777777" w:rsidR="00DC5DF6" w:rsidRDefault="00DC5DF6">
      <w:pPr>
        <w:rPr>
          <w:rFonts w:asciiTheme="majorHAnsi" w:hAnsiTheme="majorHAnsi"/>
          <w:b/>
          <w:bCs/>
        </w:rPr>
      </w:pPr>
    </w:p>
    <w:p w14:paraId="41AF0EBA" w14:textId="77777777" w:rsidR="00DC5DF6" w:rsidRDefault="00DC5DF6">
      <w:pPr>
        <w:rPr>
          <w:rFonts w:asciiTheme="majorHAnsi" w:hAnsiTheme="majorHAnsi"/>
          <w:b/>
          <w:bCs/>
        </w:rPr>
      </w:pPr>
    </w:p>
    <w:p w14:paraId="43993E2C" w14:textId="77777777" w:rsidR="00DC5DF6" w:rsidRDefault="00DC5DF6">
      <w:pPr>
        <w:rPr>
          <w:rFonts w:asciiTheme="majorHAnsi" w:hAnsiTheme="majorHAnsi"/>
          <w:b/>
          <w:bCs/>
        </w:rPr>
      </w:pPr>
    </w:p>
    <w:p w14:paraId="4E42127E" w14:textId="77777777" w:rsidR="00DC5DF6" w:rsidRDefault="00DC5DF6">
      <w:pPr>
        <w:rPr>
          <w:rFonts w:asciiTheme="majorHAnsi" w:hAnsiTheme="majorHAnsi"/>
          <w:b/>
          <w:bCs/>
        </w:rPr>
      </w:pPr>
    </w:p>
    <w:p w14:paraId="14B2BA04" w14:textId="77777777" w:rsidR="009716F2" w:rsidRDefault="009716F2" w:rsidP="00DC5DF6">
      <w:pPr>
        <w:rPr>
          <w:rFonts w:asciiTheme="majorHAnsi" w:hAnsiTheme="majorHAnsi"/>
          <w:b/>
          <w:bCs/>
        </w:rPr>
      </w:pPr>
    </w:p>
    <w:p w14:paraId="33FDF89C" w14:textId="77777777" w:rsidR="00EA0F1C" w:rsidRPr="00EA0F1C" w:rsidRDefault="00EA0F1C" w:rsidP="00EA0F1C">
      <w:pPr>
        <w:pStyle w:val="NormalWeb"/>
        <w:spacing w:before="0" w:beforeAutospacing="0" w:after="0" w:afterAutospacing="0"/>
        <w:jc w:val="both"/>
        <w:rPr>
          <w:rStyle w:val="Strong"/>
          <w:rFonts w:asciiTheme="minorHAnsi" w:hAnsiTheme="minorHAnsi"/>
          <w:b w:val="0"/>
          <w:bCs w:val="0"/>
          <w:color w:val="0E101A"/>
        </w:rPr>
      </w:pPr>
      <w:r w:rsidRPr="00EA0F1C">
        <w:rPr>
          <w:rFonts w:asciiTheme="minorHAnsi" w:hAnsiTheme="minorHAnsi"/>
          <w:b/>
          <w:bCs/>
        </w:rPr>
        <w:lastRenderedPageBreak/>
        <w:t xml:space="preserve">Supplementary Figure 2. </w:t>
      </w:r>
      <w:r w:rsidRPr="00EA0F1C">
        <w:rPr>
          <w:rStyle w:val="Strong"/>
          <w:rFonts w:asciiTheme="minorHAnsi" w:eastAsiaTheme="majorEastAsia" w:hAnsiTheme="minorHAnsi"/>
          <w:color w:val="0E101A"/>
        </w:rPr>
        <w:t xml:space="preserve">Longitudinal and endpoint associations between ICS exposure and circulating steroid metabolites in males with asthma. </w:t>
      </w:r>
      <w:r w:rsidRPr="00EA0F1C">
        <w:rPr>
          <w:rFonts w:asciiTheme="minorHAnsi" w:hAnsiTheme="minorHAnsi"/>
          <w:color w:val="0E101A"/>
        </w:rPr>
        <w:t>(A&amp;B) Mixed model results at pre-puberty without adjusting for baseline metabolite. (C&amp;D) Mixed model results at pre-puberty, adjusted for baseline metabolite. Main effect (i.e., effect at baseline) represents the effect of ICS exposure on circulating steroid metabolite levels. Interaction effect (baseline to Year 4) represents differential metabolite trajectories between ICS users and non-users. (E) Endpoint associations at Year 4 estimated using ANCOVA models. ** indicates p &lt; 0.05; * indicates p &lt; 0.10.</w:t>
      </w:r>
    </w:p>
    <w:p w14:paraId="67E2A54F" w14:textId="77777777" w:rsidR="00EA0F1C" w:rsidRDefault="00EA0F1C" w:rsidP="00DC5DF6">
      <w:pPr>
        <w:rPr>
          <w:rFonts w:asciiTheme="majorHAnsi" w:hAnsiTheme="majorHAnsi"/>
          <w:b/>
          <w:bCs/>
        </w:rPr>
      </w:pPr>
    </w:p>
    <w:p w14:paraId="7E2632BA" w14:textId="69112067" w:rsidR="0092557A" w:rsidRDefault="00C05849">
      <w:pPr>
        <w:rPr>
          <w:rFonts w:asciiTheme="majorHAnsi" w:hAnsiTheme="majorHAnsi"/>
          <w:b/>
          <w:bCs/>
        </w:rPr>
      </w:pPr>
      <w:r w:rsidRPr="007D59A1">
        <w:rPr>
          <w:rFonts w:asciiTheme="majorHAnsi" w:hAnsiTheme="majorHAnsi"/>
          <w:b/>
          <w:bCs/>
          <w:noProof/>
        </w:rPr>
        <w:drawing>
          <wp:anchor distT="0" distB="0" distL="114300" distR="114300" simplePos="0" relativeHeight="251659266" behindDoc="0" locked="0" layoutInCell="1" allowOverlap="1" wp14:anchorId="0970B95E" wp14:editId="34D9A834">
            <wp:simplePos x="0" y="0"/>
            <wp:positionH relativeFrom="column">
              <wp:posOffset>63500</wp:posOffset>
            </wp:positionH>
            <wp:positionV relativeFrom="paragraph">
              <wp:posOffset>0</wp:posOffset>
            </wp:positionV>
            <wp:extent cx="5943600" cy="5290185"/>
            <wp:effectExtent l="0" t="0" r="0" b="5715"/>
            <wp:wrapTopAndBottom/>
            <wp:docPr id="5414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273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290185"/>
                    </a:xfrm>
                    <a:prstGeom prst="rect">
                      <a:avLst/>
                    </a:prstGeom>
                  </pic:spPr>
                </pic:pic>
              </a:graphicData>
            </a:graphic>
            <wp14:sizeRelH relativeFrom="page">
              <wp14:pctWidth>0</wp14:pctWidth>
            </wp14:sizeRelH>
            <wp14:sizeRelV relativeFrom="page">
              <wp14:pctHeight>0</wp14:pctHeight>
            </wp14:sizeRelV>
          </wp:anchor>
        </w:drawing>
      </w:r>
      <w:r w:rsidR="009E7044">
        <w:rPr>
          <w:rFonts w:asciiTheme="majorHAnsi" w:hAnsiTheme="majorHAnsi"/>
          <w:b/>
          <w:bCs/>
        </w:rPr>
        <w:t xml:space="preserve">                                                                                                      </w:t>
      </w:r>
    </w:p>
    <w:p w14:paraId="3F0AEFE8" w14:textId="77777777" w:rsidR="00EA0F1C" w:rsidRDefault="00EA0F1C">
      <w:pPr>
        <w:rPr>
          <w:rFonts w:asciiTheme="majorHAnsi" w:hAnsiTheme="majorHAnsi"/>
          <w:b/>
          <w:bCs/>
        </w:rPr>
      </w:pPr>
    </w:p>
    <w:p w14:paraId="61879575" w14:textId="77777777" w:rsidR="00EA0F1C" w:rsidRDefault="00EA0F1C">
      <w:pPr>
        <w:rPr>
          <w:rFonts w:asciiTheme="majorHAnsi" w:hAnsiTheme="majorHAnsi"/>
          <w:b/>
          <w:bCs/>
        </w:rPr>
      </w:pPr>
    </w:p>
    <w:p w14:paraId="2A2A0521" w14:textId="77777777" w:rsidR="00EA0F1C" w:rsidRPr="00EA0F1C" w:rsidRDefault="00EA0F1C" w:rsidP="00EA0F1C">
      <w:pPr>
        <w:pStyle w:val="NormalWeb"/>
        <w:spacing w:before="0" w:beforeAutospacing="0" w:after="0" w:afterAutospacing="0"/>
        <w:jc w:val="both"/>
        <w:rPr>
          <w:rStyle w:val="Strong"/>
          <w:rFonts w:asciiTheme="minorHAnsi" w:hAnsiTheme="minorHAnsi"/>
          <w:b w:val="0"/>
          <w:bCs w:val="0"/>
          <w:color w:val="0E101A"/>
        </w:rPr>
      </w:pPr>
      <w:r w:rsidRPr="00EA0F1C">
        <w:rPr>
          <w:rFonts w:asciiTheme="minorHAnsi" w:hAnsiTheme="minorHAnsi"/>
          <w:b/>
          <w:bCs/>
        </w:rPr>
        <w:lastRenderedPageBreak/>
        <w:t xml:space="preserve">Supplementary Figure 3. </w:t>
      </w:r>
      <w:r w:rsidRPr="00EA0F1C">
        <w:rPr>
          <w:rStyle w:val="Strong"/>
          <w:rFonts w:asciiTheme="minorHAnsi" w:eastAsiaTheme="majorEastAsia" w:hAnsiTheme="minorHAnsi"/>
          <w:color w:val="0E101A"/>
        </w:rPr>
        <w:t xml:space="preserve">Longitudinal and endpoint associations between ICS exposure and circulating steroid metabolites in females with asthma. </w:t>
      </w:r>
      <w:r w:rsidRPr="00EA0F1C">
        <w:rPr>
          <w:rFonts w:asciiTheme="minorHAnsi" w:hAnsiTheme="minorHAnsi"/>
          <w:color w:val="0E101A"/>
        </w:rPr>
        <w:t>(A&amp;B) Mixed model results at post-puberty without adjusting for baseline metabolite. (C&amp;D) Mixed model results at post-puberty, adjusted for baseline metabolite. Main effect (i.e., effect at baseline) represents the effect of ICS exposure on circulating steroid metabolite levels. Interaction effect (baseline to Year 4) represents differential metabolite trajectories between ICS users and non-users. (E) Endpoint associations at Year 4 estimated using ANCOVA models. ** indicates p &lt; 0.05; * indicates p &lt; 0.10.</w:t>
      </w:r>
    </w:p>
    <w:p w14:paraId="48CD00BD" w14:textId="76C6ADEA" w:rsidR="007D59A1" w:rsidRDefault="00B0488C">
      <w:pPr>
        <w:rPr>
          <w:rFonts w:asciiTheme="majorHAnsi" w:hAnsiTheme="majorHAnsi"/>
          <w:b/>
          <w:bCs/>
        </w:rPr>
      </w:pPr>
      <w:r w:rsidRPr="00B0488C">
        <w:rPr>
          <w:rFonts w:asciiTheme="majorHAnsi" w:hAnsiTheme="majorHAnsi"/>
          <w:b/>
          <w:bCs/>
          <w:noProof/>
        </w:rPr>
        <w:drawing>
          <wp:anchor distT="0" distB="0" distL="114300" distR="114300" simplePos="0" relativeHeight="251660290" behindDoc="0" locked="0" layoutInCell="1" allowOverlap="1" wp14:anchorId="75692297" wp14:editId="139DBAEF">
            <wp:simplePos x="0" y="0"/>
            <wp:positionH relativeFrom="column">
              <wp:posOffset>-198659</wp:posOffset>
            </wp:positionH>
            <wp:positionV relativeFrom="paragraph">
              <wp:posOffset>236807</wp:posOffset>
            </wp:positionV>
            <wp:extent cx="6247765" cy="6081395"/>
            <wp:effectExtent l="0" t="0" r="635" b="1905"/>
            <wp:wrapTopAndBottom/>
            <wp:docPr id="1774840956" name="Picture 1" descr="A graph of multiple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40956" name="Picture 1" descr="A graph of multiple colored squar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247765" cy="6081395"/>
                    </a:xfrm>
                    <a:prstGeom prst="rect">
                      <a:avLst/>
                    </a:prstGeom>
                  </pic:spPr>
                </pic:pic>
              </a:graphicData>
            </a:graphic>
            <wp14:sizeRelH relativeFrom="page">
              <wp14:pctWidth>0</wp14:pctWidth>
            </wp14:sizeRelH>
            <wp14:sizeRelV relativeFrom="page">
              <wp14:pctHeight>0</wp14:pctHeight>
            </wp14:sizeRelV>
          </wp:anchor>
        </w:drawing>
      </w:r>
      <w:r w:rsidR="006745E1">
        <w:rPr>
          <w:rFonts w:asciiTheme="majorHAnsi" w:hAnsiTheme="majorHAnsi"/>
          <w:b/>
          <w:bCs/>
        </w:rPr>
        <w:t xml:space="preserve">          </w:t>
      </w:r>
      <w:r w:rsidR="006745E1">
        <w:t xml:space="preserve">                                                        </w:t>
      </w:r>
      <w:r w:rsidR="006745E1">
        <w:rPr>
          <w:rFonts w:asciiTheme="majorHAnsi" w:hAnsiTheme="majorHAnsi"/>
          <w:b/>
          <w:bCs/>
        </w:rPr>
        <w:t xml:space="preserve">                                                  </w:t>
      </w:r>
      <w:r w:rsidR="007F1CCC">
        <w:rPr>
          <w:rFonts w:asciiTheme="majorHAnsi" w:hAnsiTheme="majorHAnsi"/>
          <w:b/>
          <w:bCs/>
        </w:rPr>
        <w:t xml:space="preserve"> </w:t>
      </w:r>
    </w:p>
    <w:p w14:paraId="1544B6B0" w14:textId="3D471069" w:rsidR="007D59A1" w:rsidRDefault="006745E1">
      <w:pPr>
        <w:rPr>
          <w:rFonts w:asciiTheme="majorHAnsi" w:hAnsiTheme="majorHAnsi"/>
          <w:b/>
          <w:bCs/>
        </w:rPr>
      </w:pPr>
      <w:r>
        <w:rPr>
          <w:rFonts w:asciiTheme="majorHAnsi" w:hAnsiTheme="majorHAnsi"/>
          <w:b/>
          <w:bCs/>
        </w:rPr>
        <w:t xml:space="preserve">                                                       </w:t>
      </w:r>
      <w:r w:rsidR="009977B6">
        <w:rPr>
          <w:rFonts w:asciiTheme="majorHAnsi" w:hAnsiTheme="majorHAnsi"/>
          <w:b/>
          <w:bCs/>
        </w:rPr>
        <w:t xml:space="preserve">                                                                                                       </w:t>
      </w:r>
    </w:p>
    <w:sectPr w:rsidR="007D59A1" w:rsidSect="00711055">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1F84" w14:textId="77777777" w:rsidR="00201663" w:rsidRDefault="00201663" w:rsidP="002D3653">
      <w:pPr>
        <w:spacing w:after="0" w:line="240" w:lineRule="auto"/>
      </w:pPr>
      <w:r>
        <w:separator/>
      </w:r>
    </w:p>
  </w:endnote>
  <w:endnote w:type="continuationSeparator" w:id="0">
    <w:p w14:paraId="7AAFD451" w14:textId="77777777" w:rsidR="00201663" w:rsidRDefault="00201663" w:rsidP="002D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76131"/>
      <w:docPartObj>
        <w:docPartGallery w:val="Page Numbers (Bottom of Page)"/>
        <w:docPartUnique/>
      </w:docPartObj>
    </w:sdtPr>
    <w:sdtEndPr>
      <w:rPr>
        <w:noProof/>
      </w:rPr>
    </w:sdtEndPr>
    <w:sdtContent>
      <w:p w14:paraId="46D3BA51" w14:textId="59AA07FF" w:rsidR="00711055" w:rsidRDefault="007110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59B0B" w14:textId="77777777" w:rsidR="00711055" w:rsidRDefault="00711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D015" w14:textId="77777777" w:rsidR="00201663" w:rsidRDefault="00201663" w:rsidP="002D3653">
      <w:pPr>
        <w:spacing w:after="0" w:line="240" w:lineRule="auto"/>
      </w:pPr>
      <w:r>
        <w:separator/>
      </w:r>
    </w:p>
  </w:footnote>
  <w:footnote w:type="continuationSeparator" w:id="0">
    <w:p w14:paraId="6ED77B05" w14:textId="77777777" w:rsidR="00201663" w:rsidRDefault="00201663" w:rsidP="002D3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EA"/>
    <w:rsid w:val="00094C0E"/>
    <w:rsid w:val="000A319A"/>
    <w:rsid w:val="000C3C3B"/>
    <w:rsid w:val="000D674E"/>
    <w:rsid w:val="000F17E5"/>
    <w:rsid w:val="000F5A62"/>
    <w:rsid w:val="001251CF"/>
    <w:rsid w:val="00144167"/>
    <w:rsid w:val="00167AE7"/>
    <w:rsid w:val="00177EC9"/>
    <w:rsid w:val="00181F15"/>
    <w:rsid w:val="001B7A50"/>
    <w:rsid w:val="001C39E8"/>
    <w:rsid w:val="001F0015"/>
    <w:rsid w:val="00201663"/>
    <w:rsid w:val="00214507"/>
    <w:rsid w:val="00223267"/>
    <w:rsid w:val="00237DE1"/>
    <w:rsid w:val="002C681F"/>
    <w:rsid w:val="002D1FDF"/>
    <w:rsid w:val="002D3653"/>
    <w:rsid w:val="002D7182"/>
    <w:rsid w:val="002E4675"/>
    <w:rsid w:val="002E7177"/>
    <w:rsid w:val="002F5D6B"/>
    <w:rsid w:val="0034673C"/>
    <w:rsid w:val="00351B3F"/>
    <w:rsid w:val="003A3B71"/>
    <w:rsid w:val="003A5C4A"/>
    <w:rsid w:val="003B4875"/>
    <w:rsid w:val="003C4546"/>
    <w:rsid w:val="003D097F"/>
    <w:rsid w:val="003F55EE"/>
    <w:rsid w:val="00420DA3"/>
    <w:rsid w:val="004229B7"/>
    <w:rsid w:val="00426C6C"/>
    <w:rsid w:val="00432554"/>
    <w:rsid w:val="004344C3"/>
    <w:rsid w:val="00453999"/>
    <w:rsid w:val="00460405"/>
    <w:rsid w:val="00460689"/>
    <w:rsid w:val="00474695"/>
    <w:rsid w:val="00482078"/>
    <w:rsid w:val="004831A2"/>
    <w:rsid w:val="00486D63"/>
    <w:rsid w:val="004B29B1"/>
    <w:rsid w:val="004E2EAC"/>
    <w:rsid w:val="0052372B"/>
    <w:rsid w:val="005324CE"/>
    <w:rsid w:val="00560938"/>
    <w:rsid w:val="005953AE"/>
    <w:rsid w:val="005D55A3"/>
    <w:rsid w:val="005E010D"/>
    <w:rsid w:val="005E2426"/>
    <w:rsid w:val="0060046F"/>
    <w:rsid w:val="0061397B"/>
    <w:rsid w:val="006148FA"/>
    <w:rsid w:val="00627B07"/>
    <w:rsid w:val="00634DA0"/>
    <w:rsid w:val="0063735F"/>
    <w:rsid w:val="006469F6"/>
    <w:rsid w:val="006576A0"/>
    <w:rsid w:val="00664A7C"/>
    <w:rsid w:val="00671A9D"/>
    <w:rsid w:val="006745E1"/>
    <w:rsid w:val="0067656A"/>
    <w:rsid w:val="006C229C"/>
    <w:rsid w:val="006C4975"/>
    <w:rsid w:val="006D0FCE"/>
    <w:rsid w:val="006F1C19"/>
    <w:rsid w:val="006F495F"/>
    <w:rsid w:val="006F7487"/>
    <w:rsid w:val="00700770"/>
    <w:rsid w:val="00711055"/>
    <w:rsid w:val="0071312B"/>
    <w:rsid w:val="007242C7"/>
    <w:rsid w:val="007244B0"/>
    <w:rsid w:val="007755B5"/>
    <w:rsid w:val="00780826"/>
    <w:rsid w:val="00780F83"/>
    <w:rsid w:val="007B29C4"/>
    <w:rsid w:val="007D59A1"/>
    <w:rsid w:val="007E17FE"/>
    <w:rsid w:val="007F1CCC"/>
    <w:rsid w:val="008071FB"/>
    <w:rsid w:val="00810633"/>
    <w:rsid w:val="0082591A"/>
    <w:rsid w:val="0086339B"/>
    <w:rsid w:val="008738EA"/>
    <w:rsid w:val="00876F72"/>
    <w:rsid w:val="008A6142"/>
    <w:rsid w:val="008B0A0F"/>
    <w:rsid w:val="008C46C2"/>
    <w:rsid w:val="008D0B0A"/>
    <w:rsid w:val="008F4F59"/>
    <w:rsid w:val="009101E0"/>
    <w:rsid w:val="009115C6"/>
    <w:rsid w:val="0092557A"/>
    <w:rsid w:val="0093234D"/>
    <w:rsid w:val="00942B70"/>
    <w:rsid w:val="00950DDF"/>
    <w:rsid w:val="00950F4C"/>
    <w:rsid w:val="00961DEB"/>
    <w:rsid w:val="009716F2"/>
    <w:rsid w:val="00976864"/>
    <w:rsid w:val="00987530"/>
    <w:rsid w:val="00991683"/>
    <w:rsid w:val="0099320E"/>
    <w:rsid w:val="009977B6"/>
    <w:rsid w:val="009A7307"/>
    <w:rsid w:val="009B119D"/>
    <w:rsid w:val="009C47F7"/>
    <w:rsid w:val="009C4EC9"/>
    <w:rsid w:val="009C5A59"/>
    <w:rsid w:val="009D4A52"/>
    <w:rsid w:val="009E4A03"/>
    <w:rsid w:val="009E6C4D"/>
    <w:rsid w:val="009E7044"/>
    <w:rsid w:val="00A0658D"/>
    <w:rsid w:val="00A34AFD"/>
    <w:rsid w:val="00A4403A"/>
    <w:rsid w:val="00A46A35"/>
    <w:rsid w:val="00A50E73"/>
    <w:rsid w:val="00A6308A"/>
    <w:rsid w:val="00A64C26"/>
    <w:rsid w:val="00A85C0D"/>
    <w:rsid w:val="00A86FBE"/>
    <w:rsid w:val="00A97D5F"/>
    <w:rsid w:val="00B0488C"/>
    <w:rsid w:val="00B10F26"/>
    <w:rsid w:val="00B62656"/>
    <w:rsid w:val="00B76398"/>
    <w:rsid w:val="00B91FD8"/>
    <w:rsid w:val="00B933AC"/>
    <w:rsid w:val="00BA57E5"/>
    <w:rsid w:val="00BB358A"/>
    <w:rsid w:val="00C05849"/>
    <w:rsid w:val="00C361DE"/>
    <w:rsid w:val="00C43F31"/>
    <w:rsid w:val="00C44358"/>
    <w:rsid w:val="00C445DD"/>
    <w:rsid w:val="00C91902"/>
    <w:rsid w:val="00CB549A"/>
    <w:rsid w:val="00CC24AF"/>
    <w:rsid w:val="00CD076C"/>
    <w:rsid w:val="00CD0945"/>
    <w:rsid w:val="00CD3BE9"/>
    <w:rsid w:val="00CE17F2"/>
    <w:rsid w:val="00CE5A9A"/>
    <w:rsid w:val="00CE6CF9"/>
    <w:rsid w:val="00CE7D6D"/>
    <w:rsid w:val="00D01453"/>
    <w:rsid w:val="00D01AE5"/>
    <w:rsid w:val="00D22515"/>
    <w:rsid w:val="00D23ECB"/>
    <w:rsid w:val="00D41417"/>
    <w:rsid w:val="00D4444E"/>
    <w:rsid w:val="00D55D55"/>
    <w:rsid w:val="00D742D5"/>
    <w:rsid w:val="00D755FD"/>
    <w:rsid w:val="00D766B6"/>
    <w:rsid w:val="00D867C7"/>
    <w:rsid w:val="00DA6C9B"/>
    <w:rsid w:val="00DA7234"/>
    <w:rsid w:val="00DB34C7"/>
    <w:rsid w:val="00DC5DF6"/>
    <w:rsid w:val="00DE1CE9"/>
    <w:rsid w:val="00DE56B2"/>
    <w:rsid w:val="00DF55D4"/>
    <w:rsid w:val="00E264FF"/>
    <w:rsid w:val="00E35FB3"/>
    <w:rsid w:val="00E46C53"/>
    <w:rsid w:val="00E57AE3"/>
    <w:rsid w:val="00E945A1"/>
    <w:rsid w:val="00E97A73"/>
    <w:rsid w:val="00EA0F1C"/>
    <w:rsid w:val="00EA20CE"/>
    <w:rsid w:val="00EA6FF8"/>
    <w:rsid w:val="00EA780E"/>
    <w:rsid w:val="00ED6D83"/>
    <w:rsid w:val="00EE7434"/>
    <w:rsid w:val="00F035E9"/>
    <w:rsid w:val="00F209D1"/>
    <w:rsid w:val="00F55A98"/>
    <w:rsid w:val="00F62B8F"/>
    <w:rsid w:val="00F71133"/>
    <w:rsid w:val="00F91025"/>
    <w:rsid w:val="00F950AC"/>
    <w:rsid w:val="00FA2DC2"/>
    <w:rsid w:val="00FB2E32"/>
    <w:rsid w:val="00FD4D51"/>
    <w:rsid w:val="18C60885"/>
    <w:rsid w:val="30870FCB"/>
    <w:rsid w:val="31CC704E"/>
    <w:rsid w:val="5095F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1B4"/>
  <w15:chartTrackingRefBased/>
  <w15:docId w15:val="{ECA0C3CB-6C2C-4570-8214-286A4B69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8EA"/>
    <w:rPr>
      <w:rFonts w:eastAsiaTheme="majorEastAsia" w:cstheme="majorBidi"/>
      <w:color w:val="272727" w:themeColor="text1" w:themeTint="D8"/>
    </w:rPr>
  </w:style>
  <w:style w:type="paragraph" w:styleId="Title">
    <w:name w:val="Title"/>
    <w:basedOn w:val="Normal"/>
    <w:next w:val="Normal"/>
    <w:link w:val="TitleChar"/>
    <w:uiPriority w:val="10"/>
    <w:qFormat/>
    <w:rsid w:val="00873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8EA"/>
    <w:pPr>
      <w:spacing w:before="160"/>
      <w:jc w:val="center"/>
    </w:pPr>
    <w:rPr>
      <w:i/>
      <w:iCs/>
      <w:color w:val="404040" w:themeColor="text1" w:themeTint="BF"/>
    </w:rPr>
  </w:style>
  <w:style w:type="character" w:customStyle="1" w:styleId="QuoteChar">
    <w:name w:val="Quote Char"/>
    <w:basedOn w:val="DefaultParagraphFont"/>
    <w:link w:val="Quote"/>
    <w:uiPriority w:val="29"/>
    <w:rsid w:val="008738EA"/>
    <w:rPr>
      <w:i/>
      <w:iCs/>
      <w:color w:val="404040" w:themeColor="text1" w:themeTint="BF"/>
    </w:rPr>
  </w:style>
  <w:style w:type="paragraph" w:styleId="ListParagraph">
    <w:name w:val="List Paragraph"/>
    <w:basedOn w:val="Normal"/>
    <w:uiPriority w:val="34"/>
    <w:qFormat/>
    <w:rsid w:val="008738EA"/>
    <w:pPr>
      <w:ind w:left="720"/>
      <w:contextualSpacing/>
    </w:pPr>
  </w:style>
  <w:style w:type="character" w:styleId="IntenseEmphasis">
    <w:name w:val="Intense Emphasis"/>
    <w:basedOn w:val="DefaultParagraphFont"/>
    <w:uiPriority w:val="21"/>
    <w:qFormat/>
    <w:rsid w:val="008738EA"/>
    <w:rPr>
      <w:i/>
      <w:iCs/>
      <w:color w:val="0F4761" w:themeColor="accent1" w:themeShade="BF"/>
    </w:rPr>
  </w:style>
  <w:style w:type="paragraph" w:styleId="IntenseQuote">
    <w:name w:val="Intense Quote"/>
    <w:basedOn w:val="Normal"/>
    <w:next w:val="Normal"/>
    <w:link w:val="IntenseQuoteChar"/>
    <w:uiPriority w:val="30"/>
    <w:qFormat/>
    <w:rsid w:val="00873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8EA"/>
    <w:rPr>
      <w:i/>
      <w:iCs/>
      <w:color w:val="0F4761" w:themeColor="accent1" w:themeShade="BF"/>
    </w:rPr>
  </w:style>
  <w:style w:type="character" w:styleId="IntenseReference">
    <w:name w:val="Intense Reference"/>
    <w:basedOn w:val="DefaultParagraphFont"/>
    <w:uiPriority w:val="32"/>
    <w:qFormat/>
    <w:rsid w:val="008738EA"/>
    <w:rPr>
      <w:b/>
      <w:bCs/>
      <w:smallCaps/>
      <w:color w:val="0F4761" w:themeColor="accent1" w:themeShade="BF"/>
      <w:spacing w:val="5"/>
    </w:rPr>
  </w:style>
  <w:style w:type="paragraph" w:styleId="Header">
    <w:name w:val="header"/>
    <w:basedOn w:val="Normal"/>
    <w:link w:val="HeaderChar"/>
    <w:uiPriority w:val="99"/>
    <w:unhideWhenUsed/>
    <w:rsid w:val="002D3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53"/>
  </w:style>
  <w:style w:type="paragraph" w:styleId="Footer">
    <w:name w:val="footer"/>
    <w:basedOn w:val="Normal"/>
    <w:link w:val="FooterChar"/>
    <w:uiPriority w:val="99"/>
    <w:unhideWhenUsed/>
    <w:rsid w:val="002D3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53"/>
  </w:style>
  <w:style w:type="paragraph" w:styleId="NormalWeb">
    <w:name w:val="Normal (Web)"/>
    <w:basedOn w:val="Normal"/>
    <w:uiPriority w:val="99"/>
    <w:unhideWhenUsed/>
    <w:rsid w:val="009716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16F2"/>
    <w:rPr>
      <w:b/>
      <w:bCs/>
    </w:rPr>
  </w:style>
  <w:style w:type="character" w:styleId="LineNumber">
    <w:name w:val="line number"/>
    <w:basedOn w:val="DefaultParagraphFont"/>
    <w:uiPriority w:val="99"/>
    <w:semiHidden/>
    <w:unhideWhenUsed/>
    <w:rsid w:val="0071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3417</TotalTime>
  <Pages>8</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Gbenga Dairo</dc:creator>
  <cp:keywords/>
  <dc:description/>
  <cp:lastModifiedBy>Priyadarshini Kachroo</cp:lastModifiedBy>
  <cp:revision>149</cp:revision>
  <dcterms:created xsi:type="dcterms:W3CDTF">2026-02-25T16:32:00Z</dcterms:created>
  <dcterms:modified xsi:type="dcterms:W3CDTF">2026-05-18T20:08:00Z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ba6b4cf5-4e8a-4039-81b2-e032e6e5fed5</vt:lpwstr>
  </property>
</Properties>
</file>