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8242" w14:textId="77777777" w:rsidR="00344179" w:rsidRPr="00344179" w:rsidRDefault="00344179" w:rsidP="00344179">
      <w:pPr>
        <w:spacing w:after="0" w:line="360" w:lineRule="auto"/>
        <w:jc w:val="center"/>
        <w:rPr>
          <w:rFonts w:ascii="Arial" w:eastAsia="SimSun" w:hAnsi="Arial" w:cs="Arial"/>
          <w:b/>
          <w:lang w:eastAsia="zh-CN"/>
        </w:rPr>
      </w:pPr>
      <w:r w:rsidRPr="00344179">
        <w:rPr>
          <w:rFonts w:ascii="Arial" w:hAnsi="Arial" w:cs="Arial"/>
          <w:b/>
        </w:rPr>
        <w:t>Appendi</w:t>
      </w:r>
      <w:r w:rsidRPr="00344179">
        <w:rPr>
          <w:rFonts w:ascii="Arial" w:eastAsia="SimSun" w:hAnsi="Arial" w:cs="Arial"/>
          <w:b/>
          <w:lang w:eastAsia="zh-CN"/>
        </w:rPr>
        <w:t>x A1</w:t>
      </w:r>
    </w:p>
    <w:p w14:paraId="5FE40F57" w14:textId="77777777" w:rsidR="00344179" w:rsidRPr="00344179" w:rsidRDefault="00344179" w:rsidP="00344179">
      <w:pPr>
        <w:widowControl w:val="0"/>
        <w:spacing w:after="0" w:line="360" w:lineRule="auto"/>
        <w:jc w:val="both"/>
        <w:rPr>
          <w:rFonts w:ascii="Times New Roman" w:eastAsia="DengXian" w:hAnsi="Times New Roman" w:cs="Times New Roman"/>
          <w:kern w:val="2"/>
          <w:sz w:val="20"/>
          <w:szCs w:val="24"/>
          <w:lang w:eastAsia="zh-CN"/>
        </w:rPr>
      </w:pPr>
      <w:r w:rsidRPr="00344179">
        <w:rPr>
          <w:rFonts w:ascii="Times New Roman" w:eastAsia="DengXian" w:hAnsi="Times New Roman" w:cs="Times New Roman"/>
          <w:kern w:val="2"/>
          <w:sz w:val="18"/>
          <w:szCs w:val="18"/>
          <w:lang w:eastAsia="zh-CN"/>
        </w:rPr>
        <w:t xml:space="preserve"> Variable descriptions</w:t>
      </w:r>
    </w:p>
    <w:tbl>
      <w:tblPr>
        <w:tblStyle w:val="TableGrid"/>
        <w:tblpPr w:leftFromText="181" w:rightFromText="181" w:vertAnchor="text" w:horzAnchor="page" w:tblpXSpec="center" w:tblpY="12"/>
        <w:tblOverlap w:val="never"/>
        <w:tblW w:w="499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7427"/>
      </w:tblGrid>
      <w:tr w:rsidR="00344179" w:rsidRPr="00344179" w14:paraId="5660243E" w14:textId="77777777" w:rsidTr="00C81666">
        <w:trPr>
          <w:cantSplit/>
          <w:trHeight w:val="274"/>
          <w:tblHeader/>
          <w:jc w:val="center"/>
        </w:trPr>
        <w:tc>
          <w:tcPr>
            <w:tcW w:w="1031" w:type="pct"/>
            <w:tcBorders>
              <w:bottom w:val="single" w:sz="4" w:space="0" w:color="auto"/>
            </w:tcBorders>
          </w:tcPr>
          <w:p w14:paraId="4B2D7610"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Variable</w:t>
            </w:r>
          </w:p>
        </w:tc>
        <w:tc>
          <w:tcPr>
            <w:tcW w:w="3968" w:type="pct"/>
            <w:tcBorders>
              <w:bottom w:val="single" w:sz="4" w:space="0" w:color="auto"/>
            </w:tcBorders>
          </w:tcPr>
          <w:p w14:paraId="2A172E83"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Descriptions</w:t>
            </w:r>
          </w:p>
        </w:tc>
      </w:tr>
      <w:tr w:rsidR="00344179" w:rsidRPr="00344179" w14:paraId="4DDEFF10" w14:textId="77777777" w:rsidTr="00C81666">
        <w:trPr>
          <w:cantSplit/>
          <w:trHeight w:val="90"/>
          <w:tblHeader/>
          <w:jc w:val="center"/>
        </w:trPr>
        <w:tc>
          <w:tcPr>
            <w:tcW w:w="1031" w:type="pct"/>
            <w:tcBorders>
              <w:top w:val="single" w:sz="4" w:space="0" w:color="auto"/>
            </w:tcBorders>
          </w:tcPr>
          <w:p w14:paraId="415B316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LN(S)</w:t>
            </w:r>
          </w:p>
        </w:tc>
        <w:tc>
          <w:tcPr>
            <w:tcW w:w="3968" w:type="pct"/>
            <w:tcBorders>
              <w:top w:val="single" w:sz="4" w:space="0" w:color="auto"/>
            </w:tcBorders>
          </w:tcPr>
          <w:p w14:paraId="6282C57C"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logarithm of total sales</w:t>
            </w:r>
          </w:p>
        </w:tc>
      </w:tr>
      <w:tr w:rsidR="00344179" w:rsidRPr="00344179" w14:paraId="7B4320F3" w14:textId="77777777" w:rsidTr="00C81666">
        <w:trPr>
          <w:cantSplit/>
          <w:tblHeader/>
          <w:jc w:val="center"/>
        </w:trPr>
        <w:tc>
          <w:tcPr>
            <w:tcW w:w="1031" w:type="pct"/>
          </w:tcPr>
          <w:p w14:paraId="7EEBDA8E"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(LN(</w:t>
            </w:r>
            <w:proofErr w:type="gramStart"/>
            <w:r w:rsidRPr="00344179">
              <w:rPr>
                <w:rFonts w:eastAsia="DengXian"/>
                <w:kern w:val="2"/>
                <w:sz w:val="18"/>
                <w:szCs w:val="18"/>
                <w:lang w:eastAsia="zh-CN"/>
              </w:rPr>
              <w:t>S))</w:t>
            </w:r>
            <w:proofErr w:type="gramEnd"/>
            <w:r w:rsidRPr="00344179">
              <w:rPr>
                <w:rFonts w:eastAsia="DengXian"/>
                <w:kern w:val="2"/>
                <w:sz w:val="18"/>
                <w:szCs w:val="18"/>
                <w:vertAlign w:val="superscript"/>
                <w:lang w:eastAsia="zh-CN"/>
              </w:rPr>
              <w:t>2</w:t>
            </w:r>
          </w:p>
        </w:tc>
        <w:tc>
          <w:tcPr>
            <w:tcW w:w="3968" w:type="pct"/>
          </w:tcPr>
          <w:p w14:paraId="392C804F"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square of LN(S)</w:t>
            </w:r>
          </w:p>
        </w:tc>
      </w:tr>
      <w:tr w:rsidR="00344179" w:rsidRPr="00344179" w14:paraId="082B93DD" w14:textId="77777777" w:rsidTr="00C81666">
        <w:trPr>
          <w:cantSplit/>
          <w:tblHeader/>
          <w:jc w:val="center"/>
        </w:trPr>
        <w:tc>
          <w:tcPr>
            <w:tcW w:w="1031" w:type="pct"/>
          </w:tcPr>
          <w:p w14:paraId="59540AB4"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K/S</w:t>
            </w:r>
          </w:p>
        </w:tc>
        <w:tc>
          <w:tcPr>
            <w:tcW w:w="3968" w:type="pct"/>
          </w:tcPr>
          <w:p w14:paraId="082B821F"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The ratio of net fixed </w:t>
            </w:r>
            <w:proofErr w:type="gramStart"/>
            <w:r w:rsidRPr="00344179">
              <w:rPr>
                <w:rFonts w:eastAsia="DengXian"/>
                <w:kern w:val="2"/>
                <w:sz w:val="18"/>
                <w:szCs w:val="18"/>
                <w:lang w:eastAsia="zh-CN"/>
              </w:rPr>
              <w:t>asset</w:t>
            </w:r>
            <w:proofErr w:type="gramEnd"/>
            <w:r w:rsidRPr="00344179">
              <w:rPr>
                <w:rFonts w:eastAsia="DengXian"/>
                <w:kern w:val="2"/>
                <w:sz w:val="18"/>
                <w:szCs w:val="18"/>
                <w:lang w:eastAsia="zh-CN"/>
              </w:rPr>
              <w:t xml:space="preserve"> to total sales</w:t>
            </w:r>
          </w:p>
        </w:tc>
      </w:tr>
      <w:tr w:rsidR="00344179" w:rsidRPr="00344179" w14:paraId="08EA7456" w14:textId="77777777" w:rsidTr="00C81666">
        <w:trPr>
          <w:cantSplit/>
          <w:tblHeader/>
          <w:jc w:val="center"/>
        </w:trPr>
        <w:tc>
          <w:tcPr>
            <w:tcW w:w="1031" w:type="pct"/>
          </w:tcPr>
          <w:p w14:paraId="0AD44C6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(K/S)2</w:t>
            </w:r>
          </w:p>
        </w:tc>
        <w:tc>
          <w:tcPr>
            <w:tcW w:w="3968" w:type="pct"/>
          </w:tcPr>
          <w:p w14:paraId="0D8380A2"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square of K/S</w:t>
            </w:r>
          </w:p>
        </w:tc>
      </w:tr>
      <w:tr w:rsidR="00344179" w:rsidRPr="00344179" w14:paraId="6DB62F04" w14:textId="77777777" w:rsidTr="00C81666">
        <w:trPr>
          <w:cantSplit/>
          <w:tblHeader/>
          <w:jc w:val="center"/>
        </w:trPr>
        <w:tc>
          <w:tcPr>
            <w:tcW w:w="1031" w:type="pct"/>
          </w:tcPr>
          <w:p w14:paraId="257DC489"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Y/S</w:t>
            </w:r>
          </w:p>
        </w:tc>
        <w:tc>
          <w:tcPr>
            <w:tcW w:w="3968" w:type="pct"/>
          </w:tcPr>
          <w:p w14:paraId="64E98592"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ratio of operating income to total sales</w:t>
            </w:r>
          </w:p>
        </w:tc>
      </w:tr>
      <w:tr w:rsidR="00344179" w:rsidRPr="00344179" w14:paraId="15480DF8" w14:textId="77777777" w:rsidTr="00C81666">
        <w:trPr>
          <w:cantSplit/>
          <w:tblHeader/>
          <w:jc w:val="center"/>
        </w:trPr>
        <w:tc>
          <w:tcPr>
            <w:tcW w:w="1031" w:type="pct"/>
          </w:tcPr>
          <w:p w14:paraId="0136ABC3"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(R&amp;D)/K</w:t>
            </w:r>
          </w:p>
        </w:tc>
        <w:tc>
          <w:tcPr>
            <w:tcW w:w="3968" w:type="pct"/>
          </w:tcPr>
          <w:p w14:paraId="2967FC5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ratio of research and development expenditures to net fixed asset</w:t>
            </w:r>
          </w:p>
        </w:tc>
      </w:tr>
      <w:tr w:rsidR="00344179" w:rsidRPr="00344179" w14:paraId="67035F3E" w14:textId="77777777" w:rsidTr="00C81666">
        <w:trPr>
          <w:cantSplit/>
          <w:tblHeader/>
          <w:jc w:val="center"/>
        </w:trPr>
        <w:tc>
          <w:tcPr>
            <w:tcW w:w="1031" w:type="pct"/>
          </w:tcPr>
          <w:p w14:paraId="084C8DD8"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A/K</w:t>
            </w:r>
          </w:p>
        </w:tc>
        <w:tc>
          <w:tcPr>
            <w:tcW w:w="3968" w:type="pct"/>
          </w:tcPr>
          <w:p w14:paraId="7BEA4FC6"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The ratio of advertising expenditures to </w:t>
            </w:r>
            <w:proofErr w:type="gramStart"/>
            <w:r w:rsidRPr="00344179">
              <w:rPr>
                <w:rFonts w:eastAsia="DengXian"/>
                <w:kern w:val="2"/>
                <w:sz w:val="18"/>
                <w:szCs w:val="18"/>
                <w:lang w:eastAsia="zh-CN"/>
              </w:rPr>
              <w:t>net fixed</w:t>
            </w:r>
            <w:proofErr w:type="gramEnd"/>
            <w:r w:rsidRPr="00344179">
              <w:rPr>
                <w:rFonts w:eastAsia="DengXian"/>
                <w:kern w:val="2"/>
                <w:sz w:val="18"/>
                <w:szCs w:val="18"/>
                <w:lang w:eastAsia="zh-CN"/>
              </w:rPr>
              <w:t xml:space="preserve"> asset</w:t>
            </w:r>
          </w:p>
        </w:tc>
      </w:tr>
      <w:tr w:rsidR="00344179" w:rsidRPr="00344179" w14:paraId="66F2BE67" w14:textId="77777777" w:rsidTr="00C81666">
        <w:trPr>
          <w:cantSplit/>
          <w:tblHeader/>
          <w:jc w:val="center"/>
        </w:trPr>
        <w:tc>
          <w:tcPr>
            <w:tcW w:w="1031" w:type="pct"/>
          </w:tcPr>
          <w:p w14:paraId="0769BCF2"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I/K</w:t>
            </w:r>
          </w:p>
        </w:tc>
        <w:tc>
          <w:tcPr>
            <w:tcW w:w="3968" w:type="pct"/>
          </w:tcPr>
          <w:p w14:paraId="7E82473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ratio of capital expenditures to net fixed asset</w:t>
            </w:r>
          </w:p>
        </w:tc>
      </w:tr>
      <w:tr w:rsidR="00344179" w:rsidRPr="00344179" w14:paraId="109BE10D" w14:textId="77777777" w:rsidTr="00C81666">
        <w:trPr>
          <w:cantSplit/>
          <w:trHeight w:val="557"/>
          <w:tblHeader/>
          <w:jc w:val="center"/>
        </w:trPr>
        <w:tc>
          <w:tcPr>
            <w:tcW w:w="1031" w:type="pct"/>
          </w:tcPr>
          <w:p w14:paraId="097F62E4"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SIGMA</w:t>
            </w:r>
          </w:p>
        </w:tc>
        <w:tc>
          <w:tcPr>
            <w:tcW w:w="3968" w:type="pct"/>
          </w:tcPr>
          <w:p w14:paraId="770186C3"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standard deviation of idiosyncratic stock-price risk, calculated as the standard deviation of the residuals from the CAPM model estimated using daily stock returns over the fiscal year.</w:t>
            </w:r>
          </w:p>
        </w:tc>
      </w:tr>
      <w:tr w:rsidR="00344179" w:rsidRPr="00344179" w14:paraId="4E37B07C" w14:textId="77777777" w:rsidTr="00C81666">
        <w:trPr>
          <w:cantSplit/>
          <w:tblHeader/>
          <w:jc w:val="center"/>
        </w:trPr>
        <w:tc>
          <w:tcPr>
            <w:tcW w:w="1031" w:type="pct"/>
          </w:tcPr>
          <w:p w14:paraId="47156D17" w14:textId="77777777" w:rsidR="00344179" w:rsidRPr="00344179" w:rsidRDefault="00344179" w:rsidP="00344179">
            <w:pPr>
              <w:spacing w:line="360" w:lineRule="auto"/>
              <w:rPr>
                <w:rFonts w:eastAsia="DengXian"/>
                <w:kern w:val="2"/>
                <w:sz w:val="18"/>
                <w:szCs w:val="18"/>
                <w:lang w:eastAsia="zh-CN"/>
              </w:rPr>
            </w:pPr>
            <w:proofErr w:type="spellStart"/>
            <w:r w:rsidRPr="00344179">
              <w:rPr>
                <w:rFonts w:eastAsia="DengXian"/>
                <w:kern w:val="2"/>
                <w:sz w:val="18"/>
                <w:szCs w:val="18"/>
                <w:lang w:eastAsia="zh-CN"/>
              </w:rPr>
              <w:t>Listage</w:t>
            </w:r>
            <w:proofErr w:type="spellEnd"/>
          </w:p>
        </w:tc>
        <w:tc>
          <w:tcPr>
            <w:tcW w:w="3968" w:type="pct"/>
          </w:tcPr>
          <w:p w14:paraId="1C06DC21" w14:textId="77777777" w:rsidR="00344179" w:rsidRPr="00344179" w:rsidRDefault="00344179" w:rsidP="00344179">
            <w:pPr>
              <w:spacing w:line="360" w:lineRule="auto"/>
              <w:rPr>
                <w:rFonts w:eastAsia="DengXian"/>
                <w:kern w:val="2"/>
                <w:sz w:val="18"/>
                <w:szCs w:val="18"/>
                <w:lang w:eastAsia="zh-CN"/>
              </w:rPr>
            </w:pPr>
            <w:r w:rsidRPr="00344179">
              <w:rPr>
                <w:rFonts w:eastAsia="CharisSIL"/>
                <w:color w:val="000000"/>
                <w:kern w:val="2"/>
                <w:sz w:val="18"/>
                <w:szCs w:val="18"/>
                <w:lang w:eastAsia="zh-CN" w:bidi="ar"/>
              </w:rPr>
              <w:t xml:space="preserve">The number of years since </w:t>
            </w:r>
            <w:proofErr w:type="gramStart"/>
            <w:r w:rsidRPr="00344179">
              <w:rPr>
                <w:rFonts w:eastAsia="CharisSIL"/>
                <w:color w:val="000000"/>
                <w:kern w:val="2"/>
                <w:sz w:val="18"/>
                <w:szCs w:val="18"/>
                <w:lang w:eastAsia="zh-CN" w:bidi="ar"/>
              </w:rPr>
              <w:t>a firm</w:t>
            </w:r>
            <w:r w:rsidRPr="00344179">
              <w:rPr>
                <w:rFonts w:eastAsia="STIX-Regular"/>
                <w:color w:val="000000"/>
                <w:kern w:val="2"/>
                <w:sz w:val="18"/>
                <w:szCs w:val="18"/>
                <w:lang w:eastAsia="zh-CN" w:bidi="ar"/>
              </w:rPr>
              <w:t>’</w:t>
            </w:r>
            <w:r w:rsidRPr="00344179">
              <w:rPr>
                <w:rFonts w:eastAsia="CharisSIL"/>
                <w:color w:val="000000"/>
                <w:kern w:val="2"/>
                <w:sz w:val="18"/>
                <w:szCs w:val="18"/>
                <w:lang w:eastAsia="zh-CN" w:bidi="ar"/>
              </w:rPr>
              <w:t>s</w:t>
            </w:r>
            <w:proofErr w:type="gramEnd"/>
            <w:r w:rsidRPr="00344179">
              <w:rPr>
                <w:rFonts w:eastAsia="CharisSIL"/>
                <w:color w:val="000000"/>
                <w:kern w:val="2"/>
                <w:sz w:val="18"/>
                <w:szCs w:val="18"/>
                <w:lang w:eastAsia="zh-CN" w:bidi="ar"/>
              </w:rPr>
              <w:t xml:space="preserve"> first appearance in the CSMAR database</w:t>
            </w:r>
          </w:p>
        </w:tc>
      </w:tr>
      <w:tr w:rsidR="00344179" w:rsidRPr="00344179" w14:paraId="1566BEDF" w14:textId="77777777" w:rsidTr="00C81666">
        <w:trPr>
          <w:cantSplit/>
          <w:trHeight w:val="1195"/>
          <w:tblHeader/>
          <w:jc w:val="center"/>
        </w:trPr>
        <w:tc>
          <w:tcPr>
            <w:tcW w:w="1031" w:type="pct"/>
          </w:tcPr>
          <w:p w14:paraId="497A5E5C" w14:textId="77777777" w:rsidR="00344179" w:rsidRPr="00344179" w:rsidRDefault="00344179" w:rsidP="00344179">
            <w:pPr>
              <w:spacing w:line="360" w:lineRule="auto"/>
              <w:rPr>
                <w:rFonts w:eastAsia="DengXian"/>
                <w:kern w:val="2"/>
                <w:sz w:val="18"/>
                <w:szCs w:val="18"/>
                <w:lang w:eastAsia="zh-CN"/>
              </w:rPr>
            </w:pPr>
            <w:proofErr w:type="spellStart"/>
            <w:r w:rsidRPr="00344179">
              <w:rPr>
                <w:rFonts w:eastAsia="DengXian"/>
                <w:kern w:val="2"/>
                <w:sz w:val="18"/>
                <w:szCs w:val="18"/>
                <w:lang w:eastAsia="zh-CN"/>
              </w:rPr>
              <w:t>Amihud</w:t>
            </w:r>
            <w:proofErr w:type="spellEnd"/>
          </w:p>
        </w:tc>
        <w:tc>
          <w:tcPr>
            <w:tcW w:w="3968" w:type="pct"/>
          </w:tcPr>
          <w:p w14:paraId="7682DD0A" w14:textId="77777777" w:rsidR="00344179" w:rsidRPr="00344179" w:rsidRDefault="00344179" w:rsidP="00344179">
            <w:pPr>
              <w:spacing w:line="360" w:lineRule="auto"/>
              <w:rPr>
                <w:rFonts w:eastAsia="CharisSIL"/>
                <w:color w:val="000000"/>
                <w:kern w:val="2"/>
                <w:sz w:val="18"/>
                <w:szCs w:val="18"/>
                <w:lang w:eastAsia="zh-CN" w:bidi="ar"/>
              </w:rPr>
            </w:pPr>
            <w:r w:rsidRPr="00344179">
              <w:rPr>
                <w:rFonts w:eastAsia="CharisSIL"/>
                <w:color w:val="000000"/>
                <w:kern w:val="2"/>
                <w:sz w:val="18"/>
                <w:szCs w:val="18"/>
                <w:lang w:eastAsia="zh-CN" w:bidi="ar"/>
              </w:rPr>
              <w:t xml:space="preserve">For each stock </w:t>
            </w:r>
            <w:proofErr w:type="spellStart"/>
            <w:r w:rsidRPr="00344179">
              <w:rPr>
                <w:rFonts w:eastAsia="CharisSIL"/>
                <w:color w:val="000000"/>
                <w:kern w:val="2"/>
                <w:sz w:val="18"/>
                <w:szCs w:val="18"/>
                <w:lang w:eastAsia="zh-CN" w:bidi="ar"/>
              </w:rPr>
              <w:t>i</w:t>
            </w:r>
            <w:proofErr w:type="spellEnd"/>
            <w:r w:rsidRPr="00344179">
              <w:rPr>
                <w:rFonts w:eastAsia="CharisSIL"/>
                <w:color w:val="000000"/>
                <w:kern w:val="2"/>
                <w:sz w:val="18"/>
                <w:szCs w:val="18"/>
                <w:lang w:eastAsia="zh-CN" w:bidi="ar"/>
              </w:rPr>
              <w:t xml:space="preserve"> in year y, the illiquidity measure is calculated as</w:t>
            </w:r>
            <w:r w:rsidRPr="00344179">
              <w:rPr>
                <w:rFonts w:eastAsia="DengXian"/>
                <w:color w:val="000000"/>
                <w:kern w:val="2"/>
                <w:sz w:val="18"/>
                <w:szCs w:val="18"/>
                <w:lang w:eastAsia="zh-CN" w:bidi="ar"/>
              </w:rPr>
              <w:t xml:space="preserve"> </w:t>
            </w:r>
            <m:oMath>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Amihud</m:t>
                  </m:r>
                </m:e>
                <m:sub>
                  <m:r>
                    <m:rPr>
                      <m:sty m:val="p"/>
                    </m:rPr>
                    <w:rPr>
                      <w:rFonts w:ascii="Cambria Math" w:eastAsia="CharisSIL" w:hAnsi="Cambria Math"/>
                      <w:color w:val="000000"/>
                      <w:kern w:val="2"/>
                      <w:sz w:val="18"/>
                      <w:szCs w:val="18"/>
                      <w:lang w:eastAsia="zh-CN" w:bidi="ar"/>
                    </w:rPr>
                    <m:t>iy</m:t>
                  </m:r>
                </m:sub>
              </m:sSub>
              <m:r>
                <m:rPr>
                  <m:sty m:val="p"/>
                </m:rPr>
                <w:rPr>
                  <w:rFonts w:ascii="Cambria Math" w:eastAsia="CharisSIL" w:hAnsi="Cambria Math"/>
                  <w:color w:val="000000"/>
                  <w:kern w:val="2"/>
                  <w:sz w:val="18"/>
                  <w:szCs w:val="18"/>
                  <w:lang w:eastAsia="zh-CN" w:bidi="ar"/>
                </w:rPr>
                <m:t>=</m:t>
              </m:r>
              <m:d>
                <m:dPr>
                  <m:ctrlPr>
                    <w:rPr>
                      <w:rFonts w:ascii="Cambria Math" w:eastAsia="CharisSIL" w:hAnsi="Cambria Math"/>
                      <w:color w:val="000000"/>
                      <w:kern w:val="2"/>
                      <w:sz w:val="18"/>
                      <w:szCs w:val="18"/>
                      <w:lang w:eastAsia="zh-CN" w:bidi="ar"/>
                    </w:rPr>
                  </m:ctrlPr>
                </m:dPr>
                <m:e>
                  <m:r>
                    <m:rPr>
                      <m:sty m:val="p"/>
                    </m:rPr>
                    <w:rPr>
                      <w:rFonts w:ascii="Cambria Math" w:eastAsia="CharisSIL" w:hAnsi="Cambria Math"/>
                      <w:color w:val="000000"/>
                      <w:kern w:val="2"/>
                      <w:sz w:val="18"/>
                      <w:szCs w:val="18"/>
                      <w:lang w:eastAsia="zh-CN" w:bidi="ar"/>
                    </w:rPr>
                    <m:t>1</m:t>
                  </m:r>
                  <m:r>
                    <m:rPr>
                      <m:lit/>
                      <m:sty m:val="p"/>
                    </m:rPr>
                    <w:rPr>
                      <w:rFonts w:ascii="Cambria Math" w:eastAsia="CharisSIL" w:hAnsi="Cambria Math"/>
                      <w:color w:val="000000"/>
                      <w:kern w:val="2"/>
                      <w:sz w:val="18"/>
                      <w:szCs w:val="18"/>
                      <w:lang w:eastAsia="zh-CN" w:bidi="ar"/>
                    </w:rPr>
                    <m:t>/</m:t>
                  </m:r>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D</m:t>
                      </m:r>
                    </m:e>
                    <m:sub>
                      <m:r>
                        <m:rPr>
                          <m:sty m:val="p"/>
                        </m:rPr>
                        <w:rPr>
                          <w:rFonts w:ascii="Cambria Math" w:eastAsia="CharisSIL" w:hAnsi="Cambria Math"/>
                          <w:color w:val="000000"/>
                          <w:kern w:val="2"/>
                          <w:sz w:val="18"/>
                          <w:szCs w:val="18"/>
                          <w:lang w:eastAsia="zh-CN" w:bidi="ar"/>
                        </w:rPr>
                        <m:t>iy</m:t>
                      </m:r>
                    </m:sub>
                  </m:sSub>
                </m:e>
              </m:d>
              <m:nary>
                <m:naryPr>
                  <m:chr m:val="∑"/>
                  <m:limLoc m:val="subSup"/>
                  <m:ctrlPr>
                    <w:rPr>
                      <w:rFonts w:ascii="Cambria Math" w:eastAsia="CharisSIL" w:hAnsi="Cambria Math"/>
                      <w:color w:val="000000"/>
                      <w:kern w:val="2"/>
                      <w:sz w:val="18"/>
                      <w:szCs w:val="18"/>
                      <w:lang w:eastAsia="zh-CN" w:bidi="ar"/>
                    </w:rPr>
                  </m:ctrlPr>
                </m:naryPr>
                <m:sub>
                  <m:r>
                    <m:rPr>
                      <m:sty m:val="p"/>
                    </m:rPr>
                    <w:rPr>
                      <w:rFonts w:ascii="Cambria Math" w:eastAsia="CharisSIL" w:hAnsi="Cambria Math"/>
                      <w:color w:val="000000"/>
                      <w:kern w:val="2"/>
                      <w:sz w:val="18"/>
                      <w:szCs w:val="18"/>
                      <w:lang w:eastAsia="zh-CN" w:bidi="ar"/>
                    </w:rPr>
                    <m:t>t=1</m:t>
                  </m:r>
                </m:sub>
                <m:sup>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D</m:t>
                      </m:r>
                    </m:e>
                    <m:sub>
                      <m:r>
                        <m:rPr>
                          <m:sty m:val="p"/>
                        </m:rPr>
                        <w:rPr>
                          <w:rFonts w:ascii="Cambria Math" w:eastAsia="CharisSIL" w:hAnsi="Cambria Math"/>
                          <w:color w:val="000000"/>
                          <w:kern w:val="2"/>
                          <w:sz w:val="18"/>
                          <w:szCs w:val="18"/>
                          <w:lang w:eastAsia="zh-CN" w:bidi="ar"/>
                        </w:rPr>
                        <m:t>iy</m:t>
                      </m:r>
                    </m:sub>
                  </m:sSub>
                </m:sup>
                <m:e>
                  <m:f>
                    <m:fPr>
                      <m:type m:val="lin"/>
                      <m:ctrlPr>
                        <w:rPr>
                          <w:rFonts w:ascii="Cambria Math" w:eastAsia="CharisSIL" w:hAnsi="Cambria Math"/>
                          <w:color w:val="000000"/>
                          <w:kern w:val="2"/>
                          <w:sz w:val="18"/>
                          <w:szCs w:val="18"/>
                          <w:lang w:eastAsia="zh-CN" w:bidi="ar"/>
                        </w:rPr>
                      </m:ctrlPr>
                    </m:fPr>
                    <m:num>
                      <m:r>
                        <m:rPr>
                          <m:sty m:val="p"/>
                        </m:rPr>
                        <w:rPr>
                          <w:rFonts w:ascii="Cambria Math" w:eastAsia="CharisSIL" w:hAnsi="Cambria Math"/>
                          <w:color w:val="000000"/>
                          <w:kern w:val="2"/>
                          <w:sz w:val="18"/>
                          <w:szCs w:val="18"/>
                          <w:lang w:eastAsia="zh-CN" w:bidi="ar"/>
                        </w:rPr>
                        <m:t>|</m:t>
                      </m:r>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R</m:t>
                          </m:r>
                        </m:e>
                        <m:sub>
                          <m:r>
                            <m:rPr>
                              <m:sty m:val="p"/>
                            </m:rPr>
                            <w:rPr>
                              <w:rFonts w:ascii="Cambria Math" w:eastAsia="CharisSIL" w:hAnsi="Cambria Math"/>
                              <w:color w:val="000000"/>
                              <w:kern w:val="2"/>
                              <w:sz w:val="18"/>
                              <w:szCs w:val="18"/>
                              <w:lang w:eastAsia="zh-CN" w:bidi="ar"/>
                            </w:rPr>
                            <m:t>it</m:t>
                          </m:r>
                        </m:sub>
                      </m:sSub>
                      <m:r>
                        <m:rPr>
                          <m:sty m:val="p"/>
                        </m:rPr>
                        <w:rPr>
                          <w:rFonts w:ascii="Cambria Math" w:eastAsia="CharisSIL" w:hAnsi="Cambria Math"/>
                          <w:color w:val="000000"/>
                          <w:kern w:val="2"/>
                          <w:sz w:val="18"/>
                          <w:szCs w:val="18"/>
                          <w:lang w:eastAsia="zh-CN" w:bidi="ar"/>
                        </w:rPr>
                        <m:t>|</m:t>
                      </m:r>
                    </m:num>
                    <m:den>
                      <m:r>
                        <m:rPr>
                          <m:sty m:val="p"/>
                        </m:rPr>
                        <w:rPr>
                          <w:rFonts w:ascii="Cambria Math" w:eastAsia="CharisSIL" w:hAnsi="Cambria Math"/>
                          <w:color w:val="000000"/>
                          <w:kern w:val="2"/>
                          <w:sz w:val="18"/>
                          <w:szCs w:val="18"/>
                          <w:lang w:eastAsia="zh-CN" w:bidi="ar"/>
                        </w:rPr>
                        <m:t>(</m:t>
                      </m:r>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VOLD</m:t>
                          </m:r>
                        </m:e>
                        <m:sub>
                          <m:r>
                            <m:rPr>
                              <m:sty m:val="p"/>
                            </m:rPr>
                            <w:rPr>
                              <w:rFonts w:ascii="Cambria Math" w:eastAsia="CharisSIL" w:hAnsi="Cambria Math"/>
                              <w:color w:val="000000"/>
                              <w:kern w:val="2"/>
                              <w:sz w:val="18"/>
                              <w:szCs w:val="18"/>
                              <w:lang w:eastAsia="zh-CN" w:bidi="ar"/>
                            </w:rPr>
                            <m:t>it</m:t>
                          </m:r>
                        </m:sub>
                      </m:sSub>
                      <m:r>
                        <m:rPr>
                          <m:sty m:val="p"/>
                        </m:rPr>
                        <w:rPr>
                          <w:rFonts w:ascii="Cambria Math" w:eastAsia="CharisSIL" w:hAnsi="Cambria Math"/>
                          <w:color w:val="000000"/>
                          <w:kern w:val="2"/>
                          <w:sz w:val="18"/>
                          <w:szCs w:val="18"/>
                          <w:lang w:eastAsia="zh-CN" w:bidi="ar"/>
                        </w:rPr>
                        <m:t>/</m:t>
                      </m:r>
                      <m:sSup>
                        <m:sSupPr>
                          <m:ctrlPr>
                            <w:rPr>
                              <w:rFonts w:ascii="Cambria Math" w:eastAsia="CharisSIL" w:hAnsi="Cambria Math"/>
                              <w:color w:val="000000"/>
                              <w:kern w:val="2"/>
                              <w:sz w:val="18"/>
                              <w:szCs w:val="18"/>
                              <w:lang w:eastAsia="zh-CN" w:bidi="ar"/>
                            </w:rPr>
                          </m:ctrlPr>
                        </m:sSupPr>
                        <m:e>
                          <m:r>
                            <m:rPr>
                              <m:sty m:val="p"/>
                            </m:rPr>
                            <w:rPr>
                              <w:rFonts w:ascii="Cambria Math" w:eastAsia="CharisSIL" w:hAnsi="Cambria Math"/>
                              <w:color w:val="000000"/>
                              <w:kern w:val="2"/>
                              <w:sz w:val="18"/>
                              <w:szCs w:val="18"/>
                              <w:lang w:eastAsia="zh-CN" w:bidi="ar"/>
                            </w:rPr>
                            <m:t>10</m:t>
                          </m:r>
                        </m:e>
                        <m:sup>
                          <m:r>
                            <m:rPr>
                              <m:sty m:val="p"/>
                            </m:rPr>
                            <w:rPr>
                              <w:rFonts w:ascii="Cambria Math" w:eastAsia="CharisSIL" w:hAnsi="Cambria Math"/>
                              <w:color w:val="000000"/>
                              <w:kern w:val="2"/>
                              <w:sz w:val="18"/>
                              <w:szCs w:val="18"/>
                              <w:lang w:eastAsia="zh-CN" w:bidi="ar"/>
                            </w:rPr>
                            <m:t>8</m:t>
                          </m:r>
                        </m:sup>
                      </m:sSup>
                      <m:r>
                        <m:rPr>
                          <m:sty m:val="p"/>
                        </m:rPr>
                        <w:rPr>
                          <w:rFonts w:ascii="Cambria Math" w:eastAsia="CharisSIL" w:hAnsi="Cambria Math"/>
                          <w:color w:val="000000"/>
                          <w:kern w:val="2"/>
                          <w:sz w:val="18"/>
                          <w:szCs w:val="18"/>
                          <w:lang w:eastAsia="zh-CN" w:bidi="ar"/>
                        </w:rPr>
                        <m:t>)</m:t>
                      </m:r>
                    </m:den>
                  </m:f>
                </m:e>
              </m:nary>
            </m:oMath>
            <w:r w:rsidRPr="00344179">
              <w:rPr>
                <w:rFonts w:eastAsia="CharisSIL"/>
                <w:color w:val="000000"/>
                <w:kern w:val="2"/>
                <w:sz w:val="18"/>
                <w:szCs w:val="18"/>
                <w:lang w:eastAsia="zh-CN" w:bidi="ar"/>
              </w:rPr>
              <w:t xml:space="preserve">,where </w:t>
            </w:r>
            <m:oMath>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D</m:t>
                  </m:r>
                </m:e>
                <m:sub>
                  <m:r>
                    <m:rPr>
                      <m:sty m:val="p"/>
                    </m:rPr>
                    <w:rPr>
                      <w:rFonts w:ascii="Cambria Math" w:eastAsia="CharisSIL" w:hAnsi="Cambria Math"/>
                      <w:color w:val="000000"/>
                      <w:kern w:val="2"/>
                      <w:sz w:val="18"/>
                      <w:szCs w:val="18"/>
                      <w:lang w:eastAsia="zh-CN" w:bidi="ar"/>
                    </w:rPr>
                    <m:t>iy</m:t>
                  </m:r>
                </m:sub>
              </m:sSub>
            </m:oMath>
            <w:r w:rsidRPr="00344179">
              <w:rPr>
                <w:rFonts w:eastAsia="CharisSIL"/>
                <w:color w:val="000000"/>
                <w:kern w:val="2"/>
                <w:sz w:val="18"/>
                <w:szCs w:val="18"/>
                <w:lang w:eastAsia="zh-CN" w:bidi="ar"/>
              </w:rPr>
              <w:t xml:space="preserve"> is the number of days for which data are available for stock i in year y,</w:t>
            </w:r>
            <m:oMath>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R</m:t>
                  </m:r>
                </m:e>
                <m:sub>
                  <m:r>
                    <m:rPr>
                      <m:sty m:val="p"/>
                    </m:rPr>
                    <w:rPr>
                      <w:rFonts w:ascii="Cambria Math" w:eastAsia="CharisSIL" w:hAnsi="Cambria Math"/>
                      <w:color w:val="000000"/>
                      <w:kern w:val="2"/>
                      <w:sz w:val="18"/>
                      <w:szCs w:val="18"/>
                      <w:lang w:eastAsia="zh-CN" w:bidi="ar"/>
                    </w:rPr>
                    <m:t>it</m:t>
                  </m:r>
                </m:sub>
              </m:sSub>
            </m:oMath>
            <w:r w:rsidRPr="00344179">
              <w:rPr>
                <w:rFonts w:eastAsia="CharisSIL"/>
                <w:color w:val="000000"/>
                <w:kern w:val="2"/>
                <w:sz w:val="18"/>
                <w:szCs w:val="18"/>
                <w:lang w:eastAsia="zh-CN" w:bidi="ar"/>
              </w:rPr>
              <w:t xml:space="preserve"> is the return on the reinvestment of cash dividends of stock i on day t, </w:t>
            </w:r>
            <m:oMath>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VOLD</m:t>
                  </m:r>
                </m:e>
                <m:sub>
                  <m:r>
                    <m:rPr>
                      <m:sty m:val="p"/>
                    </m:rPr>
                    <w:rPr>
                      <w:rFonts w:ascii="Cambria Math" w:eastAsia="CharisSIL" w:hAnsi="Cambria Math"/>
                      <w:color w:val="000000"/>
                      <w:kern w:val="2"/>
                      <w:sz w:val="18"/>
                      <w:szCs w:val="18"/>
                      <w:lang w:eastAsia="zh-CN" w:bidi="ar"/>
                    </w:rPr>
                    <m:t>it</m:t>
                  </m:r>
                </m:sub>
              </m:sSub>
            </m:oMath>
            <w:r w:rsidRPr="00344179">
              <w:rPr>
                <w:rFonts w:eastAsia="CharisSIL"/>
                <w:color w:val="000000"/>
                <w:kern w:val="2"/>
                <w:sz w:val="18"/>
                <w:szCs w:val="18"/>
                <w:lang w:eastAsia="zh-CN" w:bidi="ar"/>
              </w:rPr>
              <w:t xml:space="preserve"> is the volume for stock i on day t</w:t>
            </w:r>
          </w:p>
        </w:tc>
      </w:tr>
      <w:tr w:rsidR="00344179" w:rsidRPr="00344179" w14:paraId="445F8098" w14:textId="77777777" w:rsidTr="00C81666">
        <w:trPr>
          <w:cantSplit/>
          <w:trHeight w:val="1460"/>
          <w:tblHeader/>
          <w:jc w:val="center"/>
        </w:trPr>
        <w:tc>
          <w:tcPr>
            <w:tcW w:w="1031" w:type="pct"/>
          </w:tcPr>
          <w:p w14:paraId="21B53CC4"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FHT</w:t>
            </w:r>
          </w:p>
        </w:tc>
        <w:tc>
          <w:tcPr>
            <w:tcW w:w="3968" w:type="pct"/>
          </w:tcPr>
          <w:p w14:paraId="40E8F72E" w14:textId="77777777" w:rsidR="00344179" w:rsidRPr="00344179" w:rsidRDefault="00344179" w:rsidP="00344179">
            <w:pPr>
              <w:spacing w:line="360" w:lineRule="auto"/>
              <w:rPr>
                <w:rFonts w:eastAsia="CharisSIL"/>
                <w:color w:val="000000"/>
                <w:kern w:val="2"/>
                <w:sz w:val="18"/>
                <w:szCs w:val="18"/>
                <w:lang w:eastAsia="zh-CN" w:bidi="ar"/>
              </w:rPr>
            </w:pPr>
            <w:r w:rsidRPr="00344179">
              <w:rPr>
                <w:rFonts w:eastAsia="CharisSIL"/>
                <w:color w:val="000000"/>
                <w:kern w:val="2"/>
                <w:sz w:val="18"/>
                <w:szCs w:val="18"/>
                <w:lang w:eastAsia="zh-CN" w:bidi="ar"/>
              </w:rPr>
              <w:t xml:space="preserve">For each stock </w:t>
            </w:r>
            <w:proofErr w:type="spellStart"/>
            <w:r w:rsidRPr="00344179">
              <w:rPr>
                <w:rFonts w:eastAsia="CharisSIL"/>
                <w:color w:val="000000"/>
                <w:kern w:val="2"/>
                <w:sz w:val="18"/>
                <w:szCs w:val="18"/>
                <w:lang w:eastAsia="zh-CN" w:bidi="ar"/>
              </w:rPr>
              <w:t>i</w:t>
            </w:r>
            <w:proofErr w:type="spellEnd"/>
            <w:r w:rsidRPr="00344179">
              <w:rPr>
                <w:rFonts w:eastAsia="CharisSIL"/>
                <w:color w:val="000000"/>
                <w:kern w:val="2"/>
                <w:sz w:val="18"/>
                <w:szCs w:val="18"/>
                <w:lang w:eastAsia="zh-CN" w:bidi="ar"/>
              </w:rPr>
              <w:t xml:space="preserve"> in year y, the illiquidity measure is calculated as </w:t>
            </w:r>
            <m:oMath>
              <m:sSub>
                <m:sSubPr>
                  <m:ctrlPr>
                    <w:rPr>
                      <w:rFonts w:ascii="Cambria Math" w:eastAsia="CharisSIL" w:hAnsi="Cambria Math"/>
                      <w:color w:val="000000"/>
                      <w:kern w:val="2"/>
                      <w:sz w:val="18"/>
                      <w:szCs w:val="18"/>
                      <w:lang w:eastAsia="zh-CN" w:bidi="ar"/>
                    </w:rPr>
                  </m:ctrlPr>
                </m:sSubPr>
                <m:e>
                  <m:r>
                    <m:rPr>
                      <m:sty m:val="p"/>
                    </m:rPr>
                    <w:rPr>
                      <w:rFonts w:ascii="Cambria Math" w:eastAsia="CharisSIL" w:hAnsi="Cambria Math"/>
                      <w:color w:val="000000"/>
                      <w:kern w:val="2"/>
                      <w:sz w:val="18"/>
                      <w:szCs w:val="18"/>
                      <w:lang w:eastAsia="zh-CN" w:bidi="ar"/>
                    </w:rPr>
                    <m:t>FHT</m:t>
                  </m:r>
                </m:e>
                <m:sub>
                  <m:r>
                    <m:rPr>
                      <m:sty m:val="p"/>
                    </m:rPr>
                    <w:rPr>
                      <w:rFonts w:ascii="Cambria Math" w:eastAsia="CharisSIL" w:hAnsi="Cambria Math"/>
                      <w:color w:val="000000"/>
                      <w:kern w:val="2"/>
                      <w:sz w:val="18"/>
                      <w:szCs w:val="18"/>
                      <w:lang w:eastAsia="zh-CN" w:bidi="ar"/>
                    </w:rPr>
                    <m:t>iy</m:t>
                  </m:r>
                </m:sub>
              </m:sSub>
              <m:r>
                <m:rPr>
                  <m:sty m:val="p"/>
                </m:rPr>
                <w:rPr>
                  <w:rFonts w:ascii="Cambria Math" w:eastAsia="CharisSIL" w:hAnsi="Cambria Math"/>
                  <w:color w:val="000000"/>
                  <w:kern w:val="2"/>
                  <w:sz w:val="18"/>
                  <w:szCs w:val="18"/>
                  <w:lang w:eastAsia="zh-CN" w:bidi="ar"/>
                </w:rPr>
                <m:t>=2σ</m:t>
              </m:r>
              <m:sSup>
                <m:sSupPr>
                  <m:ctrlPr>
                    <w:rPr>
                      <w:rFonts w:ascii="Cambria Math" w:eastAsia="CharisSIL" w:hAnsi="Cambria Math"/>
                      <w:color w:val="000000"/>
                      <w:kern w:val="2"/>
                      <w:sz w:val="18"/>
                      <w:szCs w:val="18"/>
                      <w:lang w:eastAsia="zh-CN" w:bidi="ar"/>
                    </w:rPr>
                  </m:ctrlPr>
                </m:sSupPr>
                <m:e>
                  <m:r>
                    <m:rPr>
                      <m:sty m:val="p"/>
                    </m:rPr>
                    <w:rPr>
                      <w:rFonts w:ascii="Cambria Math" w:eastAsia="CharisSIL" w:hAnsi="Cambria Math"/>
                      <w:color w:val="000000"/>
                      <w:kern w:val="2"/>
                      <w:sz w:val="18"/>
                      <w:szCs w:val="18"/>
                      <w:lang w:eastAsia="zh-CN" w:bidi="ar"/>
                    </w:rPr>
                    <m:t>N</m:t>
                  </m:r>
                </m:e>
                <m:sup>
                  <m:r>
                    <m:rPr>
                      <m:sty m:val="p"/>
                    </m:rPr>
                    <w:rPr>
                      <w:rFonts w:ascii="Cambria Math" w:eastAsia="CharisSIL" w:hAnsi="Cambria Math"/>
                      <w:color w:val="000000"/>
                      <w:kern w:val="2"/>
                      <w:sz w:val="18"/>
                      <w:szCs w:val="18"/>
                      <w:lang w:eastAsia="zh-CN" w:bidi="ar"/>
                    </w:rPr>
                    <m:t>-1</m:t>
                  </m:r>
                </m:sup>
              </m:sSup>
              <m:d>
                <m:dPr>
                  <m:ctrlPr>
                    <w:rPr>
                      <w:rFonts w:ascii="Cambria Math" w:eastAsia="CharisSIL" w:hAnsi="Cambria Math"/>
                      <w:color w:val="000000"/>
                      <w:kern w:val="2"/>
                      <w:sz w:val="18"/>
                      <w:szCs w:val="18"/>
                      <w:lang w:eastAsia="zh-CN" w:bidi="ar"/>
                    </w:rPr>
                  </m:ctrlPr>
                </m:dPr>
                <m:e>
                  <m:r>
                    <m:rPr>
                      <m:sty m:val="p"/>
                    </m:rPr>
                    <w:rPr>
                      <w:rFonts w:ascii="Cambria Math" w:eastAsia="CharisSIL" w:hAnsi="Cambria Math"/>
                      <w:color w:val="000000"/>
                      <w:kern w:val="2"/>
                      <w:sz w:val="18"/>
                      <w:szCs w:val="18"/>
                      <w:lang w:eastAsia="zh-CN" w:bidi="ar"/>
                    </w:rPr>
                    <m:t>(1+z)/2</m:t>
                  </m:r>
                </m:e>
              </m:d>
            </m:oMath>
            <w:r w:rsidRPr="00344179">
              <w:rPr>
                <w:rFonts w:eastAsia="CharisSIL"/>
                <w:color w:val="000000"/>
                <w:kern w:val="2"/>
                <w:sz w:val="18"/>
                <w:szCs w:val="18"/>
                <w:lang w:eastAsia="zh-CN" w:bidi="ar"/>
              </w:rPr>
              <w:t xml:space="preserve">,where </w:t>
            </w:r>
            <m:oMath>
              <m:r>
                <m:rPr>
                  <m:sty m:val="p"/>
                </m:rPr>
                <w:rPr>
                  <w:rFonts w:ascii="Cambria Math" w:eastAsia="CharisSIL" w:hAnsi="Cambria Math"/>
                  <w:color w:val="000000"/>
                  <w:kern w:val="2"/>
                  <w:sz w:val="18"/>
                  <w:szCs w:val="18"/>
                  <w:lang w:eastAsia="zh-CN" w:bidi="ar"/>
                </w:rPr>
                <m:t>σ</m:t>
              </m:r>
            </m:oMath>
            <w:r w:rsidRPr="00344179">
              <w:rPr>
                <w:rFonts w:eastAsia="CharisSIL"/>
                <w:color w:val="000000"/>
                <w:kern w:val="2"/>
                <w:sz w:val="18"/>
                <w:szCs w:val="18"/>
                <w:lang w:eastAsia="zh-CN" w:bidi="ar"/>
              </w:rPr>
              <w:t xml:space="preserve"> is the return volatility,</w:t>
            </w:r>
            <m:oMath>
              <m:sSup>
                <m:sSupPr>
                  <m:ctrlPr>
                    <w:rPr>
                      <w:rFonts w:ascii="Cambria Math" w:eastAsia="CharisSIL" w:hAnsi="Cambria Math"/>
                      <w:color w:val="000000"/>
                      <w:kern w:val="2"/>
                      <w:sz w:val="18"/>
                      <w:szCs w:val="18"/>
                      <w:lang w:eastAsia="zh-CN" w:bidi="ar"/>
                    </w:rPr>
                  </m:ctrlPr>
                </m:sSupPr>
                <m:e>
                  <m:r>
                    <m:rPr>
                      <m:sty m:val="p"/>
                    </m:rPr>
                    <w:rPr>
                      <w:rFonts w:ascii="Cambria Math" w:eastAsia="CharisSIL" w:hAnsi="Cambria Math"/>
                      <w:color w:val="000000"/>
                      <w:kern w:val="2"/>
                      <w:sz w:val="18"/>
                      <w:szCs w:val="18"/>
                      <w:lang w:eastAsia="zh-CN" w:bidi="ar"/>
                    </w:rPr>
                    <m:t>N</m:t>
                  </m:r>
                </m:e>
                <m:sup>
                  <m:r>
                    <m:rPr>
                      <m:sty m:val="p"/>
                    </m:rPr>
                    <w:rPr>
                      <w:rFonts w:ascii="Cambria Math" w:eastAsia="CharisSIL" w:hAnsi="Cambria Math"/>
                      <w:color w:val="000000"/>
                      <w:kern w:val="2"/>
                      <w:sz w:val="18"/>
                      <w:szCs w:val="18"/>
                      <w:lang w:eastAsia="zh-CN" w:bidi="ar"/>
                    </w:rPr>
                    <m:t>-1</m:t>
                  </m:r>
                </m:sup>
              </m:sSup>
              <m:d>
                <m:dPr>
                  <m:ctrlPr>
                    <w:rPr>
                      <w:rFonts w:ascii="Cambria Math" w:eastAsia="CharisSIL" w:hAnsi="Cambria Math"/>
                      <w:color w:val="000000"/>
                      <w:kern w:val="2"/>
                      <w:sz w:val="18"/>
                      <w:szCs w:val="18"/>
                      <w:lang w:eastAsia="zh-CN" w:bidi="ar"/>
                    </w:rPr>
                  </m:ctrlPr>
                </m:dPr>
                <m:e/>
              </m:d>
            </m:oMath>
            <w:r w:rsidRPr="00344179">
              <w:rPr>
                <w:rFonts w:eastAsia="CharisSIL"/>
                <w:color w:val="000000"/>
                <w:kern w:val="2"/>
                <w:sz w:val="18"/>
                <w:szCs w:val="18"/>
                <w:lang w:eastAsia="zh-CN" w:bidi="ar"/>
              </w:rPr>
              <w:t xml:space="preserve"> is the inverse function of the cumulative normal distribution,and z is the empirically observed frequency of a zero return day.The empirically observed frequency of a zero return is computed as </w:t>
            </w:r>
            <m:oMath>
              <m:r>
                <m:rPr>
                  <m:sty m:val="p"/>
                </m:rPr>
                <w:rPr>
                  <w:rFonts w:ascii="Cambria Math" w:eastAsia="CharisSIL" w:hAnsi="Cambria Math"/>
                  <w:color w:val="000000"/>
                  <w:kern w:val="2"/>
                  <w:sz w:val="18"/>
                  <w:szCs w:val="18"/>
                  <w:lang w:eastAsia="zh-CN" w:bidi="ar"/>
                </w:rPr>
                <m:t>z=</m:t>
              </m:r>
              <m:d>
                <m:dPr>
                  <m:ctrlPr>
                    <w:rPr>
                      <w:rFonts w:ascii="Cambria Math" w:eastAsia="CharisSIL" w:hAnsi="Cambria Math"/>
                      <w:color w:val="000000"/>
                      <w:kern w:val="2"/>
                      <w:sz w:val="18"/>
                      <w:szCs w:val="18"/>
                      <w:lang w:eastAsia="zh-CN" w:bidi="ar"/>
                    </w:rPr>
                  </m:ctrlPr>
                </m:dPr>
                <m:e>
                  <m:r>
                    <m:rPr>
                      <m:sty m:val="p"/>
                    </m:rPr>
                    <w:rPr>
                      <w:rFonts w:ascii="Cambria Math" w:eastAsia="CharisSIL" w:hAnsi="Cambria Math"/>
                      <w:color w:val="000000"/>
                      <w:kern w:val="2"/>
                      <w:sz w:val="18"/>
                      <w:szCs w:val="18"/>
                      <w:lang w:eastAsia="zh-CN" w:bidi="ar"/>
                    </w:rPr>
                    <m:t>ZRD</m:t>
                  </m:r>
                  <m:r>
                    <m:rPr>
                      <m:lit/>
                      <m:sty m:val="p"/>
                    </m:rPr>
                    <w:rPr>
                      <w:rFonts w:ascii="Cambria Math" w:eastAsia="CharisSIL" w:hAnsi="Cambria Math"/>
                      <w:color w:val="000000"/>
                      <w:kern w:val="2"/>
                      <w:sz w:val="18"/>
                      <w:szCs w:val="18"/>
                      <w:lang w:eastAsia="zh-CN" w:bidi="ar"/>
                    </w:rPr>
                    <m:t>/</m:t>
                  </m:r>
                  <m:r>
                    <m:rPr>
                      <m:sty m:val="p"/>
                    </m:rPr>
                    <w:rPr>
                      <w:rFonts w:ascii="Cambria Math" w:eastAsia="CharisSIL" w:hAnsi="Cambria Math"/>
                      <w:color w:val="000000"/>
                      <w:kern w:val="2"/>
                      <w:sz w:val="18"/>
                      <w:szCs w:val="18"/>
                      <w:lang w:eastAsia="zh-CN" w:bidi="ar"/>
                    </w:rPr>
                    <m:t>TD</m:t>
                  </m:r>
                </m:e>
              </m:d>
            </m:oMath>
            <w:r w:rsidRPr="00344179">
              <w:rPr>
                <w:rFonts w:ascii="SimSun" w:eastAsia="SimSun" w:hAnsi="SimSun" w:cs="SimSun"/>
                <w:color w:val="000000"/>
                <w:kern w:val="2"/>
                <w:sz w:val="18"/>
                <w:szCs w:val="18"/>
                <w:lang w:eastAsia="zh-CN" w:bidi="ar"/>
              </w:rPr>
              <w:t>，</w:t>
            </w:r>
            <w:r w:rsidRPr="00344179">
              <w:rPr>
                <w:rFonts w:eastAsia="CharisSIL"/>
                <w:color w:val="000000"/>
                <w:kern w:val="2"/>
                <w:sz w:val="18"/>
                <w:szCs w:val="18"/>
                <w:lang w:eastAsia="zh-CN" w:bidi="ar"/>
              </w:rPr>
              <w:t>where ZRD is the number of zero-return days and TD is the total number of trading days in a given stock-year</w:t>
            </w:r>
          </w:p>
        </w:tc>
      </w:tr>
      <w:tr w:rsidR="00344179" w:rsidRPr="00344179" w14:paraId="443D366A" w14:textId="77777777" w:rsidTr="00C81666">
        <w:trPr>
          <w:cantSplit/>
          <w:tblHeader/>
          <w:jc w:val="center"/>
        </w:trPr>
        <w:tc>
          <w:tcPr>
            <w:tcW w:w="1031" w:type="pct"/>
          </w:tcPr>
          <w:p w14:paraId="1ED51BBD"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Leverage</w:t>
            </w:r>
          </w:p>
        </w:tc>
        <w:tc>
          <w:tcPr>
            <w:tcW w:w="3968" w:type="pct"/>
          </w:tcPr>
          <w:p w14:paraId="7095F74D" w14:textId="77777777" w:rsidR="00344179" w:rsidRPr="00344179" w:rsidRDefault="00344179" w:rsidP="00344179">
            <w:pPr>
              <w:spacing w:line="360" w:lineRule="auto"/>
              <w:rPr>
                <w:rFonts w:eastAsia="DengXian"/>
                <w:kern w:val="2"/>
                <w:sz w:val="18"/>
                <w:szCs w:val="18"/>
                <w:lang w:eastAsia="zh-CN"/>
              </w:rPr>
            </w:pPr>
            <w:r w:rsidRPr="00344179">
              <w:rPr>
                <w:rFonts w:eastAsia="CharisSIL"/>
                <w:color w:val="000000"/>
                <w:kern w:val="2"/>
                <w:sz w:val="18"/>
                <w:szCs w:val="18"/>
                <w:lang w:eastAsia="zh-CN" w:bidi="ar"/>
              </w:rPr>
              <w:t xml:space="preserve">The sum of book value of current and long-term debts scaled by the book value of total assets. </w:t>
            </w:r>
          </w:p>
        </w:tc>
      </w:tr>
      <w:tr w:rsidR="00344179" w:rsidRPr="00344179" w14:paraId="7C54D976" w14:textId="77777777" w:rsidTr="00C81666">
        <w:trPr>
          <w:cantSplit/>
          <w:tblHeader/>
          <w:jc w:val="center"/>
        </w:trPr>
        <w:tc>
          <w:tcPr>
            <w:tcW w:w="1031" w:type="pct"/>
          </w:tcPr>
          <w:p w14:paraId="7B5D5AA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Inverse price</w:t>
            </w:r>
          </w:p>
        </w:tc>
        <w:tc>
          <w:tcPr>
            <w:tcW w:w="3968" w:type="pct"/>
          </w:tcPr>
          <w:p w14:paraId="476B597D"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One divided by the year-end stock price</w:t>
            </w:r>
          </w:p>
        </w:tc>
      </w:tr>
      <w:tr w:rsidR="00344179" w:rsidRPr="00344179" w14:paraId="4AD7612C" w14:textId="77777777" w:rsidTr="00C81666">
        <w:trPr>
          <w:cantSplit/>
          <w:tblHeader/>
          <w:jc w:val="center"/>
        </w:trPr>
        <w:tc>
          <w:tcPr>
            <w:tcW w:w="1031" w:type="pct"/>
          </w:tcPr>
          <w:p w14:paraId="5E2787E4"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Size</w:t>
            </w:r>
          </w:p>
        </w:tc>
        <w:tc>
          <w:tcPr>
            <w:tcW w:w="3968" w:type="pct"/>
          </w:tcPr>
          <w:p w14:paraId="2D9511C4" w14:textId="77777777" w:rsidR="00344179" w:rsidRPr="00344179" w:rsidRDefault="00344179" w:rsidP="00344179">
            <w:pPr>
              <w:spacing w:line="360" w:lineRule="auto"/>
              <w:rPr>
                <w:rFonts w:eastAsia="DengXian"/>
                <w:kern w:val="2"/>
                <w:sz w:val="18"/>
                <w:szCs w:val="18"/>
                <w:lang w:eastAsia="zh-CN"/>
              </w:rPr>
            </w:pPr>
            <w:r w:rsidRPr="00344179">
              <w:rPr>
                <w:rFonts w:eastAsia="CharisSIL"/>
                <w:color w:val="000000"/>
                <w:kern w:val="2"/>
                <w:sz w:val="18"/>
                <w:szCs w:val="18"/>
                <w:lang w:eastAsia="zh-CN" w:bidi="ar"/>
              </w:rPr>
              <w:t xml:space="preserve">The natural logarithm of total book value of assets </w:t>
            </w:r>
          </w:p>
        </w:tc>
      </w:tr>
      <w:tr w:rsidR="00344179" w:rsidRPr="00344179" w14:paraId="5CCB74A2" w14:textId="77777777" w:rsidTr="00C81666">
        <w:trPr>
          <w:cantSplit/>
          <w:tblHeader/>
          <w:jc w:val="center"/>
        </w:trPr>
        <w:tc>
          <w:tcPr>
            <w:tcW w:w="1031" w:type="pct"/>
          </w:tcPr>
          <w:p w14:paraId="43B7AE13"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HS300 indicator</w:t>
            </w:r>
          </w:p>
        </w:tc>
        <w:tc>
          <w:tcPr>
            <w:tcW w:w="3968" w:type="pct"/>
          </w:tcPr>
          <w:p w14:paraId="789DE79D"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A dummy variable equal to one if the firm is the HS300 index as of the year end, and zero otherwise</w:t>
            </w:r>
          </w:p>
        </w:tc>
      </w:tr>
      <w:tr w:rsidR="00344179" w:rsidRPr="00344179" w14:paraId="737D8F2B" w14:textId="77777777" w:rsidTr="00C81666">
        <w:trPr>
          <w:cantSplit/>
          <w:tblHeader/>
          <w:jc w:val="center"/>
        </w:trPr>
        <w:tc>
          <w:tcPr>
            <w:tcW w:w="1031" w:type="pct"/>
          </w:tcPr>
          <w:p w14:paraId="04465BC6"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D&amp;O ownership</w:t>
            </w:r>
          </w:p>
        </w:tc>
        <w:tc>
          <w:tcPr>
            <w:tcW w:w="3968" w:type="pct"/>
          </w:tcPr>
          <w:p w14:paraId="1A3B642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The percentage of the company's outstanding shares </w:t>
            </w:r>
            <w:proofErr w:type="gramStart"/>
            <w:r w:rsidRPr="00344179">
              <w:rPr>
                <w:rFonts w:eastAsia="DengXian"/>
                <w:kern w:val="2"/>
                <w:sz w:val="18"/>
                <w:szCs w:val="18"/>
                <w:lang w:eastAsia="zh-CN"/>
              </w:rPr>
              <w:t>held</w:t>
            </w:r>
            <w:proofErr w:type="gramEnd"/>
            <w:r w:rsidRPr="00344179">
              <w:rPr>
                <w:rFonts w:eastAsia="DengXian"/>
                <w:kern w:val="2"/>
                <w:sz w:val="18"/>
                <w:szCs w:val="18"/>
                <w:lang w:eastAsia="zh-CN"/>
              </w:rPr>
              <w:t xml:space="preserve"> by directors and officers.</w:t>
            </w:r>
          </w:p>
        </w:tc>
      </w:tr>
      <w:tr w:rsidR="00344179" w:rsidRPr="00344179" w14:paraId="7F6BBD1A" w14:textId="77777777" w:rsidTr="00C81666">
        <w:trPr>
          <w:cantSplit/>
          <w:tblHeader/>
          <w:jc w:val="center"/>
        </w:trPr>
        <w:tc>
          <w:tcPr>
            <w:tcW w:w="1031" w:type="pct"/>
            <w:tcBorders>
              <w:bottom w:val="nil"/>
            </w:tcBorders>
          </w:tcPr>
          <w:p w14:paraId="32EA5983"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Ownership 0% to 5%</w:t>
            </w:r>
          </w:p>
        </w:tc>
        <w:tc>
          <w:tcPr>
            <w:tcW w:w="3968" w:type="pct"/>
            <w:tcBorders>
              <w:bottom w:val="nil"/>
            </w:tcBorders>
          </w:tcPr>
          <w:p w14:paraId="6378B7DA"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=D&amp;O ownership if D&amp;O ownership &lt; 0.05,</w:t>
            </w:r>
          </w:p>
          <w:p w14:paraId="2932080E"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and= 0.05 if D&amp;O ownership ≥ 0.05.</w:t>
            </w:r>
          </w:p>
        </w:tc>
      </w:tr>
      <w:tr w:rsidR="00344179" w:rsidRPr="00344179" w14:paraId="7415A9A7" w14:textId="77777777" w:rsidTr="00C81666">
        <w:trPr>
          <w:cantSplit/>
          <w:tblHeader/>
          <w:jc w:val="center"/>
        </w:trPr>
        <w:tc>
          <w:tcPr>
            <w:tcW w:w="1031" w:type="pct"/>
            <w:tcBorders>
              <w:top w:val="nil"/>
              <w:bottom w:val="single" w:sz="4" w:space="0" w:color="auto"/>
            </w:tcBorders>
          </w:tcPr>
          <w:p w14:paraId="63427B3D"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Ownership 5% to 25%</w:t>
            </w:r>
          </w:p>
        </w:tc>
        <w:tc>
          <w:tcPr>
            <w:tcW w:w="3968" w:type="pct"/>
            <w:tcBorders>
              <w:top w:val="nil"/>
              <w:bottom w:val="single" w:sz="4" w:space="0" w:color="auto"/>
            </w:tcBorders>
          </w:tcPr>
          <w:p w14:paraId="087EC97A" w14:textId="77777777" w:rsidR="00344179" w:rsidRPr="00344179" w:rsidRDefault="00344179" w:rsidP="00344179">
            <w:pPr>
              <w:spacing w:line="360" w:lineRule="auto"/>
              <w:rPr>
                <w:rFonts w:eastAsia="MTSY"/>
                <w:color w:val="000000"/>
                <w:kern w:val="2"/>
                <w:sz w:val="18"/>
                <w:szCs w:val="18"/>
                <w:lang w:eastAsia="zh-CN" w:bidi="ar"/>
              </w:rPr>
            </w:pPr>
            <w:r w:rsidRPr="00344179">
              <w:rPr>
                <w:rFonts w:eastAsia="MTSY"/>
                <w:color w:val="000000"/>
                <w:kern w:val="2"/>
                <w:sz w:val="18"/>
                <w:szCs w:val="18"/>
                <w:lang w:eastAsia="zh-CN" w:bidi="ar"/>
              </w:rPr>
              <w:t>= 0 if D&amp;O ownership &lt;0.05</w:t>
            </w:r>
          </w:p>
          <w:p w14:paraId="0303F988" w14:textId="77777777" w:rsidR="00344179" w:rsidRPr="00344179" w:rsidRDefault="00344179" w:rsidP="00344179">
            <w:pPr>
              <w:spacing w:line="360" w:lineRule="auto"/>
              <w:rPr>
                <w:kern w:val="2"/>
                <w:sz w:val="18"/>
                <w:szCs w:val="18"/>
                <w:lang w:eastAsia="ko-KR"/>
              </w:rPr>
            </w:pPr>
            <w:r w:rsidRPr="00344179">
              <w:rPr>
                <w:rFonts w:eastAsia="MTSY"/>
                <w:color w:val="000000"/>
                <w:kern w:val="2"/>
                <w:sz w:val="18"/>
                <w:szCs w:val="18"/>
                <w:lang w:eastAsia="zh-CN" w:bidi="ar"/>
              </w:rPr>
              <w:t>=</w:t>
            </w:r>
            <w:r w:rsidRPr="00344179">
              <w:rPr>
                <w:rFonts w:eastAsia="Gulliver"/>
                <w:color w:val="000000"/>
                <w:kern w:val="2"/>
                <w:sz w:val="18"/>
                <w:szCs w:val="18"/>
                <w:lang w:eastAsia="zh-CN" w:bidi="ar"/>
              </w:rPr>
              <w:t xml:space="preserve">D&amp;O ownership minus 0.05 if 0.05 </w:t>
            </w:r>
            <w:r w:rsidRPr="00344179">
              <w:rPr>
                <w:rFonts w:eastAsia="MTSY"/>
                <w:color w:val="000000"/>
                <w:kern w:val="2"/>
                <w:sz w:val="18"/>
                <w:szCs w:val="18"/>
                <w:lang w:eastAsia="zh-CN" w:bidi="ar"/>
              </w:rPr>
              <w:t xml:space="preserve">≤ </w:t>
            </w:r>
            <w:r w:rsidRPr="00344179">
              <w:rPr>
                <w:rFonts w:eastAsia="Gulliver"/>
                <w:color w:val="000000"/>
                <w:kern w:val="2"/>
                <w:sz w:val="18"/>
                <w:szCs w:val="18"/>
                <w:lang w:eastAsia="zh-CN" w:bidi="ar"/>
              </w:rPr>
              <w:t>D&amp;O ownership</w:t>
            </w:r>
            <w:r w:rsidRPr="00344179">
              <w:rPr>
                <w:rFonts w:eastAsia="RMTMI"/>
                <w:i/>
                <w:iCs/>
                <w:color w:val="000000"/>
                <w:kern w:val="2"/>
                <w:sz w:val="18"/>
                <w:szCs w:val="18"/>
                <w:lang w:eastAsia="zh-CN" w:bidi="ar"/>
              </w:rPr>
              <w:t xml:space="preserve">&lt; </w:t>
            </w:r>
            <w:r w:rsidRPr="00344179">
              <w:rPr>
                <w:rFonts w:eastAsia="Gulliver"/>
                <w:color w:val="000000"/>
                <w:kern w:val="2"/>
                <w:sz w:val="18"/>
                <w:szCs w:val="18"/>
                <w:lang w:eastAsia="zh-CN" w:bidi="ar"/>
              </w:rPr>
              <w:t xml:space="preserve">0.25, </w:t>
            </w:r>
          </w:p>
          <w:p w14:paraId="4A889053" w14:textId="77777777" w:rsidR="00344179" w:rsidRPr="00344179" w:rsidRDefault="00344179" w:rsidP="00344179">
            <w:pPr>
              <w:spacing w:line="360" w:lineRule="auto"/>
              <w:rPr>
                <w:rFonts w:eastAsia="DengXian"/>
                <w:kern w:val="2"/>
                <w:sz w:val="18"/>
                <w:szCs w:val="18"/>
                <w:lang w:eastAsia="zh-CN"/>
              </w:rPr>
            </w:pPr>
            <w:r w:rsidRPr="00344179">
              <w:rPr>
                <w:rFonts w:eastAsia="MTSY"/>
                <w:color w:val="000000"/>
                <w:kern w:val="2"/>
                <w:sz w:val="18"/>
                <w:szCs w:val="18"/>
                <w:lang w:eastAsia="zh-CN" w:bidi="ar"/>
              </w:rPr>
              <w:t xml:space="preserve">= </w:t>
            </w:r>
            <w:r w:rsidRPr="00344179">
              <w:rPr>
                <w:rFonts w:eastAsia="Gulliver"/>
                <w:color w:val="000000"/>
                <w:kern w:val="2"/>
                <w:sz w:val="18"/>
                <w:szCs w:val="18"/>
                <w:lang w:eastAsia="zh-CN" w:bidi="ar"/>
              </w:rPr>
              <w:t>0.20 if D&amp;O ownership</w:t>
            </w:r>
            <w:r w:rsidRPr="00344179">
              <w:rPr>
                <w:rFonts w:eastAsia="MTSY"/>
                <w:color w:val="000000"/>
                <w:kern w:val="2"/>
                <w:sz w:val="18"/>
                <w:szCs w:val="18"/>
                <w:lang w:eastAsia="zh-CN" w:bidi="ar"/>
              </w:rPr>
              <w:t xml:space="preserve">≥ </w:t>
            </w:r>
            <w:r w:rsidRPr="00344179">
              <w:rPr>
                <w:rFonts w:eastAsia="Gulliver"/>
                <w:color w:val="000000"/>
                <w:kern w:val="2"/>
                <w:sz w:val="18"/>
                <w:szCs w:val="18"/>
                <w:lang w:eastAsia="zh-CN" w:bidi="ar"/>
              </w:rPr>
              <w:t>0.25.</w:t>
            </w:r>
          </w:p>
        </w:tc>
      </w:tr>
    </w:tbl>
    <w:p w14:paraId="58AF1D1A" w14:textId="77777777" w:rsidR="00344179" w:rsidRDefault="00344179" w:rsidP="00344179">
      <w:pPr>
        <w:spacing w:line="360" w:lineRule="auto"/>
        <w:rPr>
          <w:rFonts w:ascii="Calibri" w:eastAsia="DengXian" w:hAnsi="Calibri" w:cs="Times New Roman"/>
          <w:lang w:eastAsia="zh-CN"/>
        </w:rPr>
      </w:pPr>
    </w:p>
    <w:p w14:paraId="117B59CE" w14:textId="77777777" w:rsidR="00344179" w:rsidRDefault="00344179" w:rsidP="00344179">
      <w:pPr>
        <w:spacing w:line="360" w:lineRule="auto"/>
        <w:rPr>
          <w:rFonts w:ascii="Calibri" w:eastAsia="DengXian" w:hAnsi="Calibri" w:cs="Times New Roman"/>
          <w:lang w:eastAsia="zh-CN"/>
        </w:rPr>
      </w:pPr>
    </w:p>
    <w:p w14:paraId="7E0E2309" w14:textId="77777777" w:rsidR="00344179" w:rsidRDefault="00344179" w:rsidP="00344179">
      <w:pPr>
        <w:spacing w:line="360" w:lineRule="auto"/>
        <w:rPr>
          <w:rFonts w:ascii="Calibri" w:eastAsia="DengXian" w:hAnsi="Calibri" w:cs="Times New Roman"/>
          <w:lang w:eastAsia="zh-CN"/>
        </w:rPr>
      </w:pPr>
    </w:p>
    <w:p w14:paraId="36BAE38A" w14:textId="77777777" w:rsidR="00344179" w:rsidRPr="00344179" w:rsidRDefault="00344179" w:rsidP="00344179">
      <w:pPr>
        <w:spacing w:line="360" w:lineRule="auto"/>
        <w:rPr>
          <w:rFonts w:ascii="Calibri" w:eastAsia="DengXian" w:hAnsi="Calibri" w:cs="Times New Roman"/>
          <w:lang w:eastAsia="zh-CN"/>
        </w:rPr>
      </w:pPr>
    </w:p>
    <w:p w14:paraId="3F05E431" w14:textId="77777777" w:rsidR="00344179" w:rsidRPr="00344179" w:rsidRDefault="00344179" w:rsidP="00344179">
      <w:pPr>
        <w:spacing w:line="360" w:lineRule="auto"/>
        <w:rPr>
          <w:rFonts w:ascii="Calibri" w:eastAsia="DengXian" w:hAnsi="Calibri" w:cs="Times New Roman"/>
          <w:lang w:eastAsia="zh-CN"/>
        </w:rPr>
      </w:pPr>
      <w:r w:rsidRPr="00344179">
        <w:rPr>
          <w:rFonts w:ascii="Times New Roman" w:hAnsi="Times New Roman" w:cs="Times New Roman"/>
          <w:lang w:eastAsia="zh-CN"/>
        </w:rPr>
        <w:lastRenderedPageBreak/>
        <w:t>Table A.1</w:t>
      </w:r>
      <w:r w:rsidRPr="00344179">
        <w:rPr>
          <w:rFonts w:ascii="Calibri" w:hAnsi="Calibri" w:cs="Times New Roman"/>
          <w:lang w:eastAsia="zh-CN"/>
        </w:rPr>
        <w:t>(</w:t>
      </w:r>
      <w:r w:rsidRPr="00344179">
        <w:rPr>
          <w:rFonts w:ascii="Calibri" w:hAnsi="Calibri" w:cs="Times New Roman"/>
          <w:i/>
          <w:iCs/>
          <w:lang w:eastAsia="zh-CN"/>
        </w:rPr>
        <w:t>continued</w:t>
      </w:r>
      <w:r w:rsidRPr="00344179">
        <w:rPr>
          <w:rFonts w:ascii="Calibri" w:hAnsi="Calibri" w:cs="Times New Roman"/>
          <w:lang w:eastAsia="zh-CN"/>
        </w:rPr>
        <w:t>)</w:t>
      </w:r>
    </w:p>
    <w:tbl>
      <w:tblPr>
        <w:tblStyle w:val="TableGrid"/>
        <w:tblpPr w:leftFromText="181" w:rightFromText="181" w:vertAnchor="text" w:horzAnchor="page" w:tblpXSpec="center" w:tblpY="12"/>
        <w:tblOverlap w:val="never"/>
        <w:tblW w:w="499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7427"/>
      </w:tblGrid>
      <w:tr w:rsidR="00344179" w:rsidRPr="00344179" w14:paraId="57248D8C" w14:textId="77777777" w:rsidTr="00C81666">
        <w:trPr>
          <w:cantSplit/>
          <w:trHeight w:val="279"/>
          <w:tblHeader/>
          <w:jc w:val="center"/>
        </w:trPr>
        <w:tc>
          <w:tcPr>
            <w:tcW w:w="1031" w:type="pct"/>
            <w:tcBorders>
              <w:top w:val="single" w:sz="4" w:space="0" w:color="auto"/>
              <w:bottom w:val="single" w:sz="4" w:space="0" w:color="auto"/>
            </w:tcBorders>
          </w:tcPr>
          <w:p w14:paraId="600FEF16" w14:textId="77777777" w:rsidR="00344179" w:rsidRPr="00344179" w:rsidRDefault="00344179" w:rsidP="00344179">
            <w:pPr>
              <w:spacing w:line="360" w:lineRule="auto"/>
              <w:rPr>
                <w:rFonts w:eastAsia="DengXian"/>
                <w:kern w:val="2"/>
                <w:sz w:val="18"/>
                <w:szCs w:val="18"/>
                <w:lang w:eastAsia="zh-CN"/>
              </w:rPr>
            </w:pPr>
            <w:r w:rsidRPr="00344179">
              <w:rPr>
                <w:kern w:val="2"/>
                <w:sz w:val="18"/>
                <w:szCs w:val="18"/>
                <w:lang w:eastAsia="ko-KR"/>
              </w:rPr>
              <w:t>Variable</w:t>
            </w:r>
          </w:p>
        </w:tc>
        <w:tc>
          <w:tcPr>
            <w:tcW w:w="3969" w:type="pct"/>
            <w:tcBorders>
              <w:top w:val="single" w:sz="4" w:space="0" w:color="auto"/>
              <w:bottom w:val="single" w:sz="4" w:space="0" w:color="auto"/>
            </w:tcBorders>
          </w:tcPr>
          <w:p w14:paraId="5E53FD2D" w14:textId="77777777" w:rsidR="00344179" w:rsidRPr="00344179" w:rsidRDefault="00344179" w:rsidP="00344179">
            <w:pPr>
              <w:spacing w:line="360" w:lineRule="auto"/>
              <w:rPr>
                <w:rFonts w:eastAsia="Gulliver"/>
                <w:color w:val="000000"/>
                <w:kern w:val="2"/>
                <w:sz w:val="18"/>
                <w:szCs w:val="18"/>
                <w:lang w:eastAsia="zh-CN" w:bidi="ar"/>
              </w:rPr>
            </w:pPr>
            <w:r w:rsidRPr="00344179">
              <w:rPr>
                <w:kern w:val="2"/>
                <w:sz w:val="18"/>
                <w:szCs w:val="18"/>
                <w:lang w:eastAsia="ko-KR"/>
              </w:rPr>
              <w:t>Descriptions</w:t>
            </w:r>
          </w:p>
        </w:tc>
      </w:tr>
      <w:tr w:rsidR="00344179" w:rsidRPr="00344179" w14:paraId="78C6E6C4" w14:textId="77777777" w:rsidTr="00C81666">
        <w:trPr>
          <w:cantSplit/>
          <w:tblHeader/>
          <w:jc w:val="center"/>
        </w:trPr>
        <w:tc>
          <w:tcPr>
            <w:tcW w:w="1031" w:type="pct"/>
            <w:tcBorders>
              <w:top w:val="single" w:sz="4" w:space="0" w:color="auto"/>
            </w:tcBorders>
          </w:tcPr>
          <w:p w14:paraId="30572AC6"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Ownership over 25%</w:t>
            </w:r>
          </w:p>
        </w:tc>
        <w:tc>
          <w:tcPr>
            <w:tcW w:w="3969" w:type="pct"/>
            <w:tcBorders>
              <w:top w:val="single" w:sz="4" w:space="0" w:color="auto"/>
            </w:tcBorders>
          </w:tcPr>
          <w:p w14:paraId="1B10AB86" w14:textId="77777777" w:rsidR="00344179" w:rsidRPr="00344179" w:rsidRDefault="00344179" w:rsidP="00344179">
            <w:pPr>
              <w:spacing w:line="360" w:lineRule="auto"/>
              <w:rPr>
                <w:kern w:val="2"/>
                <w:sz w:val="18"/>
                <w:szCs w:val="18"/>
                <w:lang w:eastAsia="ko-KR"/>
              </w:rPr>
            </w:pPr>
            <w:r w:rsidRPr="00344179">
              <w:rPr>
                <w:rFonts w:eastAsia="Gulliver"/>
                <w:color w:val="000000"/>
                <w:kern w:val="2"/>
                <w:sz w:val="18"/>
                <w:szCs w:val="18"/>
                <w:lang w:eastAsia="zh-CN" w:bidi="ar"/>
              </w:rPr>
              <w:t>=0 if D&amp;O ownership</w:t>
            </w:r>
            <w:r w:rsidRPr="00344179">
              <w:rPr>
                <w:rFonts w:eastAsia="RMTMI"/>
                <w:i/>
                <w:iCs/>
                <w:color w:val="000000"/>
                <w:kern w:val="2"/>
                <w:sz w:val="18"/>
                <w:szCs w:val="18"/>
                <w:lang w:eastAsia="zh-CN" w:bidi="ar"/>
              </w:rPr>
              <w:t xml:space="preserve">&lt; </w:t>
            </w:r>
            <w:r w:rsidRPr="00344179">
              <w:rPr>
                <w:rFonts w:eastAsia="Gulliver"/>
                <w:color w:val="000000"/>
                <w:kern w:val="2"/>
                <w:sz w:val="18"/>
                <w:szCs w:val="18"/>
                <w:lang w:eastAsia="zh-CN" w:bidi="ar"/>
              </w:rPr>
              <w:t xml:space="preserve">0.25, </w:t>
            </w:r>
          </w:p>
          <w:p w14:paraId="6990F2FE" w14:textId="77777777" w:rsidR="00344179" w:rsidRPr="00344179" w:rsidRDefault="00344179" w:rsidP="00344179">
            <w:pPr>
              <w:spacing w:line="360" w:lineRule="auto"/>
              <w:rPr>
                <w:rFonts w:eastAsia="DengXian"/>
                <w:kern w:val="2"/>
                <w:sz w:val="18"/>
                <w:szCs w:val="18"/>
                <w:lang w:eastAsia="zh-CN"/>
              </w:rPr>
            </w:pPr>
            <w:r w:rsidRPr="00344179">
              <w:rPr>
                <w:rFonts w:eastAsia="MTSY"/>
                <w:color w:val="000000"/>
                <w:kern w:val="2"/>
                <w:sz w:val="18"/>
                <w:szCs w:val="18"/>
                <w:lang w:eastAsia="zh-CN" w:bidi="ar"/>
              </w:rPr>
              <w:t xml:space="preserve">= </w:t>
            </w:r>
            <w:r w:rsidRPr="00344179">
              <w:rPr>
                <w:rFonts w:eastAsia="Gulliver"/>
                <w:color w:val="000000"/>
                <w:kern w:val="2"/>
                <w:sz w:val="18"/>
                <w:szCs w:val="18"/>
                <w:lang w:eastAsia="zh-CN" w:bidi="ar"/>
              </w:rPr>
              <w:t>D&amp;O ownership minus 0.25 if D&amp;O ownership</w:t>
            </w:r>
            <w:r w:rsidRPr="00344179">
              <w:rPr>
                <w:rFonts w:eastAsia="MTSY"/>
                <w:color w:val="000000"/>
                <w:kern w:val="2"/>
                <w:sz w:val="18"/>
                <w:szCs w:val="18"/>
                <w:lang w:eastAsia="zh-CN" w:bidi="ar"/>
              </w:rPr>
              <w:t>≥ 0.25</w:t>
            </w:r>
          </w:p>
        </w:tc>
      </w:tr>
      <w:tr w:rsidR="00344179" w:rsidRPr="00344179" w14:paraId="6CE9EA86" w14:textId="77777777" w:rsidTr="00C81666">
        <w:trPr>
          <w:cantSplit/>
          <w:tblHeader/>
          <w:jc w:val="center"/>
        </w:trPr>
        <w:tc>
          <w:tcPr>
            <w:tcW w:w="1031" w:type="pct"/>
          </w:tcPr>
          <w:p w14:paraId="018FEE02"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Ownership wedge </w:t>
            </w:r>
          </w:p>
        </w:tc>
        <w:tc>
          <w:tcPr>
            <w:tcW w:w="3969" w:type="pct"/>
          </w:tcPr>
          <w:p w14:paraId="09AA7F7F" w14:textId="77777777" w:rsidR="00344179" w:rsidRPr="00344179" w:rsidRDefault="00344179" w:rsidP="00344179">
            <w:pPr>
              <w:spacing w:line="360" w:lineRule="auto"/>
              <w:rPr>
                <w:rFonts w:eastAsia="DengXian"/>
                <w:kern w:val="2"/>
                <w:sz w:val="18"/>
                <w:szCs w:val="18"/>
                <w:lang w:eastAsia="zh-CN"/>
              </w:rPr>
            </w:pPr>
            <w:r w:rsidRPr="00344179">
              <w:rPr>
                <w:rFonts w:eastAsia="Gulliver"/>
                <w:color w:val="000000"/>
                <w:kern w:val="2"/>
                <w:sz w:val="18"/>
                <w:szCs w:val="18"/>
                <w:lang w:eastAsia="zh-CN" w:bidi="ar"/>
              </w:rPr>
              <w:t>The difference between the first ownership observation for a firm in our sample and the managerial ownership lagged by one period.</w:t>
            </w:r>
          </w:p>
        </w:tc>
      </w:tr>
      <w:tr w:rsidR="00344179" w:rsidRPr="00344179" w14:paraId="2FB2DAEE" w14:textId="77777777" w:rsidTr="00C81666">
        <w:trPr>
          <w:cantSplit/>
          <w:tblHeader/>
          <w:jc w:val="center"/>
        </w:trPr>
        <w:tc>
          <w:tcPr>
            <w:tcW w:w="1031" w:type="pct"/>
          </w:tcPr>
          <w:p w14:paraId="64D715A5"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IPO wedge</w:t>
            </w:r>
          </w:p>
        </w:tc>
        <w:tc>
          <w:tcPr>
            <w:tcW w:w="3969" w:type="pct"/>
          </w:tcPr>
          <w:p w14:paraId="2A664005" w14:textId="77777777" w:rsidR="00344179" w:rsidRPr="00344179" w:rsidRDefault="00344179" w:rsidP="00344179">
            <w:pPr>
              <w:spacing w:line="360" w:lineRule="auto"/>
              <w:rPr>
                <w:rFonts w:eastAsia="DengXian"/>
                <w:kern w:val="2"/>
                <w:sz w:val="18"/>
                <w:szCs w:val="18"/>
                <w:lang w:eastAsia="zh-CN"/>
              </w:rPr>
            </w:pPr>
            <w:r w:rsidRPr="00344179">
              <w:rPr>
                <w:rFonts w:eastAsia="Gulliver"/>
                <w:color w:val="000000"/>
                <w:kern w:val="2"/>
                <w:sz w:val="18"/>
                <w:szCs w:val="18"/>
                <w:lang w:eastAsia="zh-CN" w:bidi="ar"/>
              </w:rPr>
              <w:t>The difference between the managerial ownership observation reported in the year of an IPO and the managerial ownership lagged by one period.</w:t>
            </w:r>
          </w:p>
        </w:tc>
      </w:tr>
      <w:tr w:rsidR="00344179" w:rsidRPr="00344179" w14:paraId="7C400F7A" w14:textId="77777777" w:rsidTr="00C81666">
        <w:trPr>
          <w:cantSplit/>
          <w:tblHeader/>
          <w:jc w:val="center"/>
        </w:trPr>
        <w:tc>
          <w:tcPr>
            <w:tcW w:w="1031" w:type="pct"/>
          </w:tcPr>
          <w:p w14:paraId="7B85B180"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ROA</w:t>
            </w:r>
          </w:p>
        </w:tc>
        <w:tc>
          <w:tcPr>
            <w:tcW w:w="3969" w:type="pct"/>
          </w:tcPr>
          <w:p w14:paraId="52F781EC" w14:textId="77777777" w:rsidR="00344179" w:rsidRPr="00344179" w:rsidRDefault="00344179" w:rsidP="00344179">
            <w:pPr>
              <w:spacing w:line="360" w:lineRule="auto"/>
              <w:rPr>
                <w:rFonts w:eastAsia="DengXian"/>
                <w:kern w:val="2"/>
                <w:sz w:val="18"/>
                <w:szCs w:val="18"/>
                <w:lang w:eastAsia="zh-CN"/>
              </w:rPr>
            </w:pPr>
            <w:r w:rsidRPr="00344179">
              <w:rPr>
                <w:rFonts w:eastAsia="CharisSIL"/>
                <w:color w:val="000000"/>
                <w:kern w:val="2"/>
                <w:sz w:val="18"/>
                <w:szCs w:val="18"/>
                <w:lang w:eastAsia="zh-CN" w:bidi="ar"/>
              </w:rPr>
              <w:t xml:space="preserve">Return on total assets computed as earnings before interest and taxes (EBIT) scaled by the book value of total assets </w:t>
            </w:r>
          </w:p>
        </w:tc>
      </w:tr>
      <w:tr w:rsidR="00344179" w:rsidRPr="00344179" w14:paraId="4C69EC6D" w14:textId="77777777" w:rsidTr="00C81666">
        <w:trPr>
          <w:cantSplit/>
          <w:tblHeader/>
          <w:jc w:val="center"/>
        </w:trPr>
        <w:tc>
          <w:tcPr>
            <w:tcW w:w="1031" w:type="pct"/>
          </w:tcPr>
          <w:p w14:paraId="409EA5DE"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Sales growth </w:t>
            </w:r>
          </w:p>
        </w:tc>
        <w:tc>
          <w:tcPr>
            <w:tcW w:w="3969" w:type="pct"/>
          </w:tcPr>
          <w:p w14:paraId="214E1AE1" w14:textId="77777777" w:rsidR="00344179" w:rsidRPr="00344179" w:rsidRDefault="00344179" w:rsidP="00344179">
            <w:pPr>
              <w:spacing w:line="360" w:lineRule="auto"/>
              <w:rPr>
                <w:rFonts w:eastAsia="DengXian"/>
                <w:kern w:val="2"/>
                <w:sz w:val="18"/>
                <w:szCs w:val="18"/>
                <w:lang w:eastAsia="zh-CN"/>
              </w:rPr>
            </w:pPr>
            <w:r w:rsidRPr="00344179">
              <w:rPr>
                <w:rFonts w:eastAsia="STZhongsong"/>
                <w:color w:val="000000"/>
                <w:kern w:val="2"/>
                <w:sz w:val="18"/>
                <w:szCs w:val="18"/>
                <w:lang w:eastAsia="zh-CN" w:bidi="ar"/>
              </w:rPr>
              <w:t xml:space="preserve">The percentage change in </w:t>
            </w:r>
            <w:r w:rsidRPr="00344179">
              <w:rPr>
                <w:color w:val="000000"/>
                <w:kern w:val="2"/>
                <w:sz w:val="18"/>
                <w:szCs w:val="18"/>
                <w:lang w:eastAsia="zh-CN" w:bidi="ar"/>
              </w:rPr>
              <w:t xml:space="preserve">total </w:t>
            </w:r>
            <w:r w:rsidRPr="00344179">
              <w:rPr>
                <w:rFonts w:eastAsia="STZhongsong"/>
                <w:color w:val="000000"/>
                <w:kern w:val="2"/>
                <w:sz w:val="18"/>
                <w:szCs w:val="18"/>
                <w:lang w:eastAsia="zh-CN" w:bidi="ar"/>
              </w:rPr>
              <w:t>sales</w:t>
            </w:r>
            <w:r w:rsidRPr="00344179">
              <w:rPr>
                <w:color w:val="000000"/>
                <w:kern w:val="2"/>
                <w:sz w:val="18"/>
                <w:szCs w:val="18"/>
                <w:lang w:eastAsia="zh-CN" w:bidi="ar"/>
              </w:rPr>
              <w:t>,</w:t>
            </w:r>
            <w:r w:rsidRPr="00344179">
              <w:rPr>
                <w:rFonts w:eastAsia="STZhongsong"/>
                <w:color w:val="000000"/>
                <w:kern w:val="2"/>
                <w:sz w:val="18"/>
                <w:szCs w:val="18"/>
                <w:lang w:eastAsia="zh-CN" w:bidi="ar"/>
              </w:rPr>
              <w:t xml:space="preserve"> calculated as (sale</w:t>
            </w:r>
            <w:r w:rsidRPr="00344179">
              <w:rPr>
                <w:color w:val="000000"/>
                <w:kern w:val="2"/>
                <w:sz w:val="18"/>
                <w:szCs w:val="18"/>
                <w:vertAlign w:val="subscript"/>
                <w:lang w:eastAsia="zh-CN" w:bidi="ar"/>
              </w:rPr>
              <w:t>t</w:t>
            </w:r>
            <w:r w:rsidRPr="00344179">
              <w:rPr>
                <w:rFonts w:eastAsia="STZhongsong"/>
                <w:color w:val="000000"/>
                <w:kern w:val="2"/>
                <w:sz w:val="18"/>
                <w:szCs w:val="18"/>
                <w:lang w:eastAsia="zh-CN" w:bidi="ar"/>
              </w:rPr>
              <w:t>− sale</w:t>
            </w:r>
            <w:r w:rsidRPr="00344179">
              <w:rPr>
                <w:color w:val="000000"/>
                <w:kern w:val="2"/>
                <w:sz w:val="18"/>
                <w:szCs w:val="18"/>
                <w:vertAlign w:val="subscript"/>
                <w:lang w:eastAsia="zh-CN" w:bidi="ar"/>
              </w:rPr>
              <w:t>t-1</w:t>
            </w:r>
            <w:r w:rsidRPr="00344179">
              <w:rPr>
                <w:rFonts w:eastAsia="STZhongsong"/>
                <w:color w:val="000000"/>
                <w:kern w:val="2"/>
                <w:sz w:val="18"/>
                <w:szCs w:val="18"/>
                <w:lang w:eastAsia="zh-CN" w:bidi="ar"/>
              </w:rPr>
              <w:t>)/sale</w:t>
            </w:r>
            <w:r w:rsidRPr="00344179">
              <w:rPr>
                <w:color w:val="000000"/>
                <w:kern w:val="2"/>
                <w:sz w:val="18"/>
                <w:szCs w:val="18"/>
                <w:vertAlign w:val="subscript"/>
                <w:lang w:eastAsia="zh-CN" w:bidi="ar"/>
              </w:rPr>
              <w:t>t-1</w:t>
            </w:r>
            <w:r w:rsidRPr="00344179">
              <w:rPr>
                <w:color w:val="000000"/>
                <w:kern w:val="2"/>
                <w:sz w:val="18"/>
                <w:szCs w:val="18"/>
                <w:lang w:eastAsia="zh-CN" w:bidi="ar"/>
              </w:rPr>
              <w:t>;</w:t>
            </w:r>
          </w:p>
        </w:tc>
      </w:tr>
      <w:tr w:rsidR="00344179" w:rsidRPr="00344179" w14:paraId="0EEA1ED7" w14:textId="77777777" w:rsidTr="00C81666">
        <w:trPr>
          <w:cantSplit/>
          <w:tblHeader/>
          <w:jc w:val="center"/>
        </w:trPr>
        <w:tc>
          <w:tcPr>
            <w:tcW w:w="1031" w:type="pct"/>
          </w:tcPr>
          <w:p w14:paraId="169FDE67"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Stock return</w:t>
            </w:r>
          </w:p>
        </w:tc>
        <w:tc>
          <w:tcPr>
            <w:tcW w:w="3969" w:type="pct"/>
          </w:tcPr>
          <w:p w14:paraId="0E23CFDE"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The annual stock return calculated using monthly stock return </w:t>
            </w:r>
          </w:p>
        </w:tc>
      </w:tr>
      <w:tr w:rsidR="00344179" w:rsidRPr="00344179" w14:paraId="00EDB1FA" w14:textId="77777777" w:rsidTr="00C81666">
        <w:trPr>
          <w:cantSplit/>
          <w:tblHeader/>
          <w:jc w:val="center"/>
        </w:trPr>
        <w:tc>
          <w:tcPr>
            <w:tcW w:w="1031" w:type="pct"/>
          </w:tcPr>
          <w:p w14:paraId="46ADD182"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Systematic risk</w:t>
            </w:r>
          </w:p>
        </w:tc>
        <w:tc>
          <w:tcPr>
            <w:tcW w:w="3969" w:type="pct"/>
          </w:tcPr>
          <w:p w14:paraId="154B32EF"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Rolling five-year window estimates of betas using monthly stock returns and the value-weighted market returns</w:t>
            </w:r>
          </w:p>
        </w:tc>
      </w:tr>
      <w:tr w:rsidR="00344179" w:rsidRPr="00344179" w14:paraId="72103080" w14:textId="77777777" w:rsidTr="00C81666">
        <w:trPr>
          <w:cantSplit/>
          <w:tblHeader/>
          <w:jc w:val="center"/>
        </w:trPr>
        <w:tc>
          <w:tcPr>
            <w:tcW w:w="1031" w:type="pct"/>
          </w:tcPr>
          <w:p w14:paraId="39D16B4F"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Tobin Q</w:t>
            </w:r>
          </w:p>
        </w:tc>
        <w:tc>
          <w:tcPr>
            <w:tcW w:w="3969" w:type="pct"/>
          </w:tcPr>
          <w:p w14:paraId="320E84FA" w14:textId="77777777" w:rsidR="00344179" w:rsidRPr="00344179" w:rsidRDefault="00344179" w:rsidP="00344179">
            <w:pPr>
              <w:spacing w:line="360" w:lineRule="auto"/>
              <w:rPr>
                <w:rFonts w:eastAsia="DengXian"/>
                <w:kern w:val="2"/>
                <w:sz w:val="18"/>
                <w:szCs w:val="18"/>
                <w:lang w:eastAsia="zh-CN"/>
              </w:rPr>
            </w:pPr>
            <w:r w:rsidRPr="00344179">
              <w:rPr>
                <w:rFonts w:eastAsia="CharisSIL"/>
                <w:color w:val="000000"/>
                <w:kern w:val="2"/>
                <w:sz w:val="18"/>
                <w:szCs w:val="18"/>
                <w:lang w:eastAsia="zh-CN" w:bidi="ar"/>
              </w:rPr>
              <w:t>The firm</w:t>
            </w:r>
            <w:r w:rsidRPr="00344179">
              <w:rPr>
                <w:rFonts w:eastAsia="STIX-Regular"/>
                <w:color w:val="000000"/>
                <w:kern w:val="2"/>
                <w:sz w:val="18"/>
                <w:szCs w:val="18"/>
                <w:lang w:eastAsia="zh-CN" w:bidi="ar"/>
              </w:rPr>
              <w:t>’</w:t>
            </w:r>
            <w:r w:rsidRPr="00344179">
              <w:rPr>
                <w:rFonts w:eastAsia="CharisSIL"/>
                <w:color w:val="000000"/>
                <w:kern w:val="2"/>
                <w:sz w:val="18"/>
                <w:szCs w:val="18"/>
                <w:lang w:eastAsia="zh-CN" w:bidi="ar"/>
              </w:rPr>
              <w:t>s market value divided by its total assets as of the end of the fiscal year</w:t>
            </w:r>
          </w:p>
        </w:tc>
      </w:tr>
      <w:tr w:rsidR="00344179" w:rsidRPr="00344179" w14:paraId="5240344D" w14:textId="77777777" w:rsidTr="00C81666">
        <w:trPr>
          <w:cantSplit/>
          <w:tblHeader/>
          <w:jc w:val="center"/>
        </w:trPr>
        <w:tc>
          <w:tcPr>
            <w:tcW w:w="1031" w:type="pct"/>
          </w:tcPr>
          <w:p w14:paraId="72219BDA"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Total Q</w:t>
            </w:r>
          </w:p>
        </w:tc>
        <w:tc>
          <w:tcPr>
            <w:tcW w:w="3969" w:type="pct"/>
          </w:tcPr>
          <w:p w14:paraId="0E64F60E"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The ratio of firm value to the sum of physical and intangible </w:t>
            </w:r>
            <w:proofErr w:type="spellStart"/>
            <w:proofErr w:type="gramStart"/>
            <w:r w:rsidRPr="00344179">
              <w:rPr>
                <w:rFonts w:eastAsia="DengXian"/>
                <w:kern w:val="2"/>
                <w:sz w:val="18"/>
                <w:szCs w:val="18"/>
                <w:lang w:eastAsia="zh-CN"/>
              </w:rPr>
              <w:t>capital.A</w:t>
            </w:r>
            <w:proofErr w:type="spellEnd"/>
            <w:proofErr w:type="gramEnd"/>
            <w:r w:rsidRPr="00344179">
              <w:rPr>
                <w:rFonts w:eastAsia="DengXian"/>
                <w:kern w:val="2"/>
                <w:sz w:val="18"/>
                <w:szCs w:val="18"/>
                <w:lang w:eastAsia="zh-CN"/>
              </w:rPr>
              <w:t xml:space="preserve"> detailed description of the total Q can be found in Peters and </w:t>
            </w:r>
            <w:proofErr w:type="gramStart"/>
            <w:r w:rsidRPr="00344179">
              <w:rPr>
                <w:rFonts w:eastAsia="DengXian"/>
                <w:kern w:val="2"/>
                <w:sz w:val="18"/>
                <w:szCs w:val="18"/>
                <w:lang w:eastAsia="zh-CN"/>
              </w:rPr>
              <w:t>Taylor(</w:t>
            </w:r>
            <w:proofErr w:type="gramEnd"/>
            <w:r w:rsidRPr="00344179">
              <w:rPr>
                <w:rFonts w:eastAsia="DengXian"/>
                <w:kern w:val="2"/>
                <w:sz w:val="18"/>
                <w:szCs w:val="18"/>
                <w:lang w:eastAsia="zh-CN"/>
              </w:rPr>
              <w:t>2017)</w:t>
            </w:r>
          </w:p>
        </w:tc>
      </w:tr>
      <w:tr w:rsidR="00344179" w:rsidRPr="00344179" w14:paraId="141F4AC6" w14:textId="77777777" w:rsidTr="00C81666">
        <w:trPr>
          <w:cantSplit/>
          <w:tblHeader/>
          <w:jc w:val="center"/>
        </w:trPr>
        <w:tc>
          <w:tcPr>
            <w:tcW w:w="1031" w:type="pct"/>
          </w:tcPr>
          <w:p w14:paraId="0423572D"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Volatility of the monthly stock</w:t>
            </w:r>
          </w:p>
        </w:tc>
        <w:tc>
          <w:tcPr>
            <w:tcW w:w="3969" w:type="pct"/>
          </w:tcPr>
          <w:p w14:paraId="5AD40DB9"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The standard deviation of stock returns using monthly data on stock returns from CSMAR over the previous 48 months</w:t>
            </w:r>
          </w:p>
        </w:tc>
      </w:tr>
      <w:tr w:rsidR="00344179" w:rsidRPr="00344179" w14:paraId="3405C463" w14:textId="77777777" w:rsidTr="00C81666">
        <w:trPr>
          <w:cantSplit/>
          <w:tblHeader/>
          <w:jc w:val="center"/>
        </w:trPr>
        <w:tc>
          <w:tcPr>
            <w:tcW w:w="1031" w:type="pct"/>
          </w:tcPr>
          <w:p w14:paraId="0F845C3C"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Normalized high(low) liquidity years [Amihud]</w:t>
            </w:r>
          </w:p>
        </w:tc>
        <w:tc>
          <w:tcPr>
            <w:tcW w:w="3969" w:type="pct"/>
          </w:tcPr>
          <w:p w14:paraId="63D31627" w14:textId="77777777" w:rsidR="00344179" w:rsidRPr="00344179" w:rsidRDefault="00344179" w:rsidP="00344179">
            <w:pPr>
              <w:spacing w:line="360" w:lineRule="auto"/>
              <w:rPr>
                <w:rFonts w:eastAsia="DengXian"/>
                <w:kern w:val="2"/>
                <w:sz w:val="18"/>
                <w:szCs w:val="18"/>
                <w:lang w:eastAsia="zh-CN"/>
              </w:rPr>
            </w:pPr>
            <w:r w:rsidRPr="00344179">
              <w:rPr>
                <w:rFonts w:eastAsia="Gulliver"/>
                <w:color w:val="000000"/>
                <w:kern w:val="2"/>
                <w:sz w:val="18"/>
                <w:szCs w:val="18"/>
                <w:lang w:eastAsia="zh-CN" w:bidi="ar"/>
              </w:rPr>
              <w:t xml:space="preserve">The ratio of the accumulated high (low) liquidity years since 1990 to the number of years in the CSMAR universe. A given firm-year observation is categorized as “high (low) liquidity” if the value of its </w:t>
            </w:r>
            <w:proofErr w:type="spellStart"/>
            <w:r w:rsidRPr="00344179">
              <w:rPr>
                <w:rFonts w:eastAsia="Gulliver"/>
                <w:color w:val="000000"/>
                <w:kern w:val="2"/>
                <w:sz w:val="18"/>
                <w:szCs w:val="18"/>
                <w:lang w:eastAsia="zh-CN" w:bidi="ar"/>
              </w:rPr>
              <w:t>Amihud</w:t>
            </w:r>
            <w:proofErr w:type="spellEnd"/>
            <w:r w:rsidRPr="00344179">
              <w:rPr>
                <w:rFonts w:eastAsia="Gulliver"/>
                <w:color w:val="000000"/>
                <w:kern w:val="2"/>
                <w:sz w:val="18"/>
                <w:szCs w:val="18"/>
                <w:lang w:eastAsia="zh-CN" w:bidi="ar"/>
              </w:rPr>
              <w:t xml:space="preserve"> measure is in the bottom (top) quartile of the respective illiquidity measure relative to the entire CSMAR universe of firms each year.</w:t>
            </w:r>
          </w:p>
        </w:tc>
      </w:tr>
      <w:tr w:rsidR="00344179" w:rsidRPr="00344179" w14:paraId="768672CA" w14:textId="77777777" w:rsidTr="00C81666">
        <w:trPr>
          <w:cantSplit/>
          <w:tblHeader/>
          <w:jc w:val="center"/>
        </w:trPr>
        <w:tc>
          <w:tcPr>
            <w:tcW w:w="1031" w:type="pct"/>
          </w:tcPr>
          <w:p w14:paraId="5C4BEB38"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Normalized high(low) liquidity years [FHT]</w:t>
            </w:r>
          </w:p>
        </w:tc>
        <w:tc>
          <w:tcPr>
            <w:tcW w:w="3969" w:type="pct"/>
          </w:tcPr>
          <w:p w14:paraId="678BBAB4" w14:textId="77777777" w:rsidR="00344179" w:rsidRPr="00344179" w:rsidRDefault="00344179" w:rsidP="00344179">
            <w:pPr>
              <w:spacing w:line="360" w:lineRule="auto"/>
              <w:rPr>
                <w:rFonts w:eastAsia="DengXian"/>
                <w:kern w:val="2"/>
                <w:sz w:val="18"/>
                <w:szCs w:val="18"/>
                <w:lang w:eastAsia="zh-CN"/>
              </w:rPr>
            </w:pPr>
            <w:r w:rsidRPr="00344179">
              <w:rPr>
                <w:rFonts w:eastAsia="Gulliver"/>
                <w:color w:val="000000"/>
                <w:kern w:val="2"/>
                <w:sz w:val="18"/>
                <w:szCs w:val="18"/>
                <w:lang w:eastAsia="zh-CN" w:bidi="ar"/>
              </w:rPr>
              <w:t>The ratio of the accumulated high (low) liquidity years since 1990 to the number of years in the CSMAR universe. A given firm-year observation is categorized as “high (low) liquidity” if the value of its FHT measure is in the bottom (top) quartile of the respective illiquidity measure relative to the entire CSMAR universe of firms each year.</w:t>
            </w:r>
          </w:p>
        </w:tc>
      </w:tr>
      <w:tr w:rsidR="00344179" w:rsidRPr="00344179" w14:paraId="2E7BE253" w14:textId="77777777" w:rsidTr="00C81666">
        <w:trPr>
          <w:cantSplit/>
          <w:tblHeader/>
          <w:jc w:val="center"/>
        </w:trPr>
        <w:tc>
          <w:tcPr>
            <w:tcW w:w="1031" w:type="pct"/>
          </w:tcPr>
          <w:p w14:paraId="1EEEA2B3"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Normalized high(low) performance years [ROA]</w:t>
            </w:r>
          </w:p>
        </w:tc>
        <w:tc>
          <w:tcPr>
            <w:tcW w:w="3969" w:type="pct"/>
          </w:tcPr>
          <w:p w14:paraId="43E4757C" w14:textId="77777777" w:rsidR="00344179" w:rsidRPr="00344179" w:rsidRDefault="00344179" w:rsidP="00344179">
            <w:pPr>
              <w:spacing w:line="360" w:lineRule="auto"/>
              <w:rPr>
                <w:rFonts w:eastAsia="DengXian"/>
                <w:kern w:val="2"/>
                <w:sz w:val="18"/>
                <w:szCs w:val="18"/>
                <w:lang w:eastAsia="zh-CN"/>
              </w:rPr>
            </w:pPr>
            <w:r w:rsidRPr="00344179">
              <w:rPr>
                <w:rFonts w:eastAsia="Gulliver"/>
                <w:color w:val="000000"/>
                <w:kern w:val="2"/>
                <w:sz w:val="18"/>
                <w:szCs w:val="18"/>
                <w:lang w:eastAsia="zh-CN" w:bidi="ar"/>
              </w:rPr>
              <w:t>The ratio of the accumulated high (low) performance years since 1990 to the number of years in the CSMAR universe. A given firm-year observation is categorized as “high (low) performance” if its ROA is in the top (bottom) quartile relative to the entire CSMAR universe of firms each year.</w:t>
            </w:r>
          </w:p>
        </w:tc>
      </w:tr>
      <w:tr w:rsidR="00344179" w:rsidRPr="00344179" w14:paraId="19268E56" w14:textId="77777777" w:rsidTr="00C81666">
        <w:trPr>
          <w:cantSplit/>
          <w:tblHeader/>
          <w:jc w:val="center"/>
        </w:trPr>
        <w:tc>
          <w:tcPr>
            <w:tcW w:w="1031" w:type="pct"/>
          </w:tcPr>
          <w:p w14:paraId="61A6608B"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Normalized high(low) performance years [Sales growth]</w:t>
            </w:r>
          </w:p>
        </w:tc>
        <w:tc>
          <w:tcPr>
            <w:tcW w:w="3969" w:type="pct"/>
          </w:tcPr>
          <w:p w14:paraId="46D29EE5" w14:textId="77777777" w:rsidR="00344179" w:rsidRPr="00344179" w:rsidRDefault="00344179" w:rsidP="00344179">
            <w:pPr>
              <w:spacing w:line="360" w:lineRule="auto"/>
              <w:rPr>
                <w:rFonts w:eastAsia="DengXian"/>
                <w:kern w:val="2"/>
                <w:sz w:val="18"/>
                <w:szCs w:val="18"/>
                <w:lang w:eastAsia="zh-CN"/>
              </w:rPr>
            </w:pPr>
            <w:r w:rsidRPr="00344179">
              <w:rPr>
                <w:rFonts w:eastAsia="Gulliver"/>
                <w:color w:val="000000"/>
                <w:kern w:val="2"/>
                <w:sz w:val="18"/>
                <w:szCs w:val="18"/>
                <w:lang w:eastAsia="zh-CN" w:bidi="ar"/>
              </w:rPr>
              <w:t>The ratio of the accumulated high (low) performance years since 1990 to the number of years in the CSMAR universe. A given firm-year observation is categorized as “high (low) performance” if its sales growth is in the top (bottom) quartile relative to the entire CSMAR universe of firms each year.</w:t>
            </w:r>
          </w:p>
        </w:tc>
      </w:tr>
      <w:tr w:rsidR="00344179" w:rsidRPr="00344179" w14:paraId="68190988" w14:textId="77777777" w:rsidTr="00C81666">
        <w:trPr>
          <w:cantSplit/>
          <w:tblHeader/>
          <w:jc w:val="center"/>
        </w:trPr>
        <w:tc>
          <w:tcPr>
            <w:tcW w:w="1031" w:type="pct"/>
          </w:tcPr>
          <w:p w14:paraId="772F363B"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SOE</w:t>
            </w:r>
          </w:p>
        </w:tc>
        <w:tc>
          <w:tcPr>
            <w:tcW w:w="3969" w:type="pct"/>
          </w:tcPr>
          <w:p w14:paraId="69407017"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An indicator variable equal to one if the firm is state-owned </w:t>
            </w:r>
            <w:proofErr w:type="spellStart"/>
            <w:proofErr w:type="gramStart"/>
            <w:r w:rsidRPr="00344179">
              <w:rPr>
                <w:rFonts w:eastAsia="DengXian"/>
                <w:kern w:val="2"/>
                <w:sz w:val="18"/>
                <w:szCs w:val="18"/>
                <w:lang w:eastAsia="zh-CN"/>
              </w:rPr>
              <w:t>enterprise,and</w:t>
            </w:r>
            <w:proofErr w:type="spellEnd"/>
            <w:proofErr w:type="gramEnd"/>
            <w:r w:rsidRPr="00344179">
              <w:rPr>
                <w:rFonts w:eastAsia="DengXian"/>
                <w:kern w:val="2"/>
                <w:sz w:val="18"/>
                <w:szCs w:val="18"/>
                <w:lang w:eastAsia="zh-CN"/>
              </w:rPr>
              <w:t xml:space="preserve"> zero otherwise</w:t>
            </w:r>
          </w:p>
        </w:tc>
      </w:tr>
      <w:tr w:rsidR="00344179" w:rsidRPr="00344179" w14:paraId="63F6FCAB" w14:textId="77777777" w:rsidTr="00C81666">
        <w:trPr>
          <w:cantSplit/>
          <w:tblHeader/>
          <w:jc w:val="center"/>
        </w:trPr>
        <w:tc>
          <w:tcPr>
            <w:tcW w:w="1031" w:type="pct"/>
          </w:tcPr>
          <w:p w14:paraId="238F84D1"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Tech</w:t>
            </w:r>
          </w:p>
        </w:tc>
        <w:tc>
          <w:tcPr>
            <w:tcW w:w="3969" w:type="pct"/>
          </w:tcPr>
          <w:p w14:paraId="53E71AAB" w14:textId="77777777" w:rsidR="00344179" w:rsidRPr="00344179" w:rsidRDefault="00344179" w:rsidP="00344179">
            <w:pPr>
              <w:spacing w:line="360" w:lineRule="auto"/>
              <w:rPr>
                <w:rFonts w:eastAsia="DengXian"/>
                <w:kern w:val="2"/>
                <w:sz w:val="18"/>
                <w:szCs w:val="18"/>
                <w:lang w:eastAsia="zh-CN"/>
              </w:rPr>
            </w:pPr>
            <w:r w:rsidRPr="00344179">
              <w:rPr>
                <w:rFonts w:eastAsia="DengXian"/>
                <w:kern w:val="2"/>
                <w:sz w:val="18"/>
                <w:szCs w:val="18"/>
                <w:lang w:eastAsia="zh-CN"/>
              </w:rPr>
              <w:t xml:space="preserve">A dummy variable equal to one if the firm belongs to technology </w:t>
            </w:r>
            <w:proofErr w:type="spellStart"/>
            <w:proofErr w:type="gramStart"/>
            <w:r w:rsidRPr="00344179">
              <w:rPr>
                <w:rFonts w:eastAsia="DengXian"/>
                <w:kern w:val="2"/>
                <w:sz w:val="18"/>
                <w:szCs w:val="18"/>
                <w:lang w:eastAsia="zh-CN"/>
              </w:rPr>
              <w:t>company,and</w:t>
            </w:r>
            <w:proofErr w:type="spellEnd"/>
            <w:proofErr w:type="gramEnd"/>
            <w:r w:rsidRPr="00344179">
              <w:rPr>
                <w:rFonts w:eastAsia="DengXian"/>
                <w:kern w:val="2"/>
                <w:sz w:val="18"/>
                <w:szCs w:val="18"/>
                <w:lang w:eastAsia="zh-CN"/>
              </w:rPr>
              <w:t xml:space="preserve"> zero </w:t>
            </w:r>
            <w:proofErr w:type="spellStart"/>
            <w:proofErr w:type="gramStart"/>
            <w:r w:rsidRPr="00344179">
              <w:rPr>
                <w:rFonts w:eastAsia="DengXian"/>
                <w:kern w:val="2"/>
                <w:sz w:val="18"/>
                <w:szCs w:val="18"/>
                <w:lang w:eastAsia="zh-CN"/>
              </w:rPr>
              <w:t>otherwise.According</w:t>
            </w:r>
            <w:proofErr w:type="spellEnd"/>
            <w:proofErr w:type="gramEnd"/>
            <w:r w:rsidRPr="00344179">
              <w:rPr>
                <w:rFonts w:eastAsia="DengXian"/>
                <w:kern w:val="2"/>
                <w:sz w:val="18"/>
                <w:szCs w:val="18"/>
                <w:lang w:eastAsia="zh-CN"/>
              </w:rPr>
              <w:t xml:space="preserve"> to the Guidelines on Industry Classification of Listed Companies issued by the China Securities Regulatory Commission in 2012, we identified companies with industry level 1 codes of "I" and "M" as technology companies.</w:t>
            </w:r>
          </w:p>
        </w:tc>
      </w:tr>
    </w:tbl>
    <w:p w14:paraId="14DA7DB8" w14:textId="77777777" w:rsidR="00A468A1" w:rsidRPr="00344179" w:rsidRDefault="00A468A1" w:rsidP="00344179">
      <w:pPr>
        <w:spacing w:line="360" w:lineRule="auto"/>
      </w:pPr>
    </w:p>
    <w:sectPr w:rsidR="00A468A1" w:rsidRPr="00344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SIL">
    <w:altName w:val="Segoe Print"/>
    <w:charset w:val="00"/>
    <w:family w:val="auto"/>
    <w:pitch w:val="default"/>
  </w:font>
  <w:font w:name="STIX-Regular">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TSY">
    <w:altName w:val="Segoe Print"/>
    <w:charset w:val="00"/>
    <w:family w:val="auto"/>
    <w:pitch w:val="default"/>
  </w:font>
  <w:font w:name="Gulliver">
    <w:altName w:val="Segoe Print"/>
    <w:charset w:val="00"/>
    <w:family w:val="auto"/>
    <w:pitch w:val="default"/>
  </w:font>
  <w:font w:name="RMTMI">
    <w:altName w:val="Segoe Print"/>
    <w:charset w:val="00"/>
    <w:family w:val="auto"/>
    <w:pitch w:val="default"/>
  </w:font>
  <w:font w:name="STZhongsong">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2E"/>
    <w:rsid w:val="000068A0"/>
    <w:rsid w:val="0015662E"/>
    <w:rsid w:val="00344179"/>
    <w:rsid w:val="00A468A1"/>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D489"/>
  <w15:chartTrackingRefBased/>
  <w15:docId w15:val="{BA83A3CE-4E94-4488-AF5E-68688B7E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179"/>
    <w:pPr>
      <w:spacing w:line="259" w:lineRule="auto"/>
    </w:pPr>
    <w:rPr>
      <w:rFonts w:eastAsia="Batang"/>
      <w:kern w:val="0"/>
      <w:sz w:val="22"/>
      <w:szCs w:val="22"/>
      <w:lang w:eastAsia="en-US"/>
      <w14:ligatures w14:val="none"/>
    </w:rPr>
  </w:style>
  <w:style w:type="paragraph" w:styleId="Heading1">
    <w:name w:val="heading 1"/>
    <w:basedOn w:val="Normal"/>
    <w:next w:val="Normal"/>
    <w:link w:val="Heading1Char"/>
    <w:uiPriority w:val="9"/>
    <w:qFormat/>
    <w:rsid w:val="001566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1566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15662E"/>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15662E"/>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15662E"/>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15662E"/>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15662E"/>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15662E"/>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15662E"/>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2E"/>
    <w:rPr>
      <w:rFonts w:eastAsiaTheme="majorEastAsia" w:cstheme="majorBidi"/>
      <w:color w:val="272727" w:themeColor="text1" w:themeTint="D8"/>
    </w:rPr>
  </w:style>
  <w:style w:type="paragraph" w:styleId="Title">
    <w:name w:val="Title"/>
    <w:basedOn w:val="Normal"/>
    <w:next w:val="Normal"/>
    <w:link w:val="TitleChar"/>
    <w:uiPriority w:val="10"/>
    <w:qFormat/>
    <w:rsid w:val="0015662E"/>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56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2E"/>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156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2E"/>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15662E"/>
    <w:rPr>
      <w:i/>
      <w:iCs/>
      <w:color w:val="404040" w:themeColor="text1" w:themeTint="BF"/>
    </w:rPr>
  </w:style>
  <w:style w:type="paragraph" w:styleId="ListParagraph">
    <w:name w:val="List Paragraph"/>
    <w:basedOn w:val="Normal"/>
    <w:uiPriority w:val="34"/>
    <w:qFormat/>
    <w:rsid w:val="0015662E"/>
    <w:pPr>
      <w:spacing w:line="278" w:lineRule="auto"/>
      <w:ind w:left="720"/>
      <w:contextualSpacing/>
    </w:pPr>
    <w:rPr>
      <w:rFonts w:eastAsiaTheme="minorEastAsia"/>
      <w:kern w:val="2"/>
      <w:sz w:val="24"/>
      <w:szCs w:val="24"/>
      <w:lang w:eastAsia="zh-CN"/>
      <w14:ligatures w14:val="standardContextual"/>
    </w:rPr>
  </w:style>
  <w:style w:type="character" w:styleId="IntenseEmphasis">
    <w:name w:val="Intense Emphasis"/>
    <w:basedOn w:val="DefaultParagraphFont"/>
    <w:uiPriority w:val="21"/>
    <w:qFormat/>
    <w:rsid w:val="0015662E"/>
    <w:rPr>
      <w:i/>
      <w:iCs/>
      <w:color w:val="0F4761" w:themeColor="accent1" w:themeShade="BF"/>
    </w:rPr>
  </w:style>
  <w:style w:type="paragraph" w:styleId="IntenseQuote">
    <w:name w:val="Intense Quote"/>
    <w:basedOn w:val="Normal"/>
    <w:next w:val="Normal"/>
    <w:link w:val="IntenseQuoteChar"/>
    <w:uiPriority w:val="30"/>
    <w:qFormat/>
    <w:rsid w:val="001566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15662E"/>
    <w:rPr>
      <w:i/>
      <w:iCs/>
      <w:color w:val="0F4761" w:themeColor="accent1" w:themeShade="BF"/>
    </w:rPr>
  </w:style>
  <w:style w:type="character" w:styleId="IntenseReference">
    <w:name w:val="Intense Reference"/>
    <w:basedOn w:val="DefaultParagraphFont"/>
    <w:uiPriority w:val="32"/>
    <w:qFormat/>
    <w:rsid w:val="0015662E"/>
    <w:rPr>
      <w:b/>
      <w:bCs/>
      <w:smallCaps/>
      <w:color w:val="0F4761" w:themeColor="accent1" w:themeShade="BF"/>
      <w:spacing w:val="5"/>
    </w:rPr>
  </w:style>
  <w:style w:type="table" w:styleId="TableGrid">
    <w:name w:val="Table Grid"/>
    <w:basedOn w:val="TableNormal"/>
    <w:qFormat/>
    <w:rsid w:val="00344179"/>
    <w:pPr>
      <w:widowControl w:val="0"/>
      <w:spacing w:after="0" w:line="240" w:lineRule="auto"/>
      <w:jc w:val="both"/>
    </w:pPr>
    <w:rPr>
      <w:rFonts w:ascii="Times New Roman" w:eastAsia="SimSun" w:hAnsi="Times New Roma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0"/>
    <w:qFormat/>
    <w:rsid w:val="00344179"/>
    <w:pPr>
      <w:widowControl w:val="0"/>
      <w:spacing w:after="0" w:line="240" w:lineRule="auto"/>
      <w:jc w:val="both"/>
    </w:pPr>
    <w:rPr>
      <w:rFonts w:ascii="Calibri" w:eastAsiaTheme="minorEastAsia" w:hAnsi="Calibri" w:cs="Calibri"/>
      <w:kern w:val="2"/>
      <w:sz w:val="20"/>
      <w:szCs w:val="24"/>
      <w:lang w:eastAsia="zh-CN"/>
    </w:rPr>
  </w:style>
  <w:style w:type="character" w:customStyle="1" w:styleId="EndNoteBibliography0">
    <w:name w:val="EndNote Bibliography 字符"/>
    <w:basedOn w:val="DefaultParagraphFont"/>
    <w:link w:val="EndNoteBibliography"/>
    <w:qFormat/>
    <w:rsid w:val="00344179"/>
    <w:rPr>
      <w:rFonts w:ascii="Calibri" w:hAnsi="Calibri" w:cs="Calibri"/>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Liuyang Li</dc:creator>
  <cp:keywords/>
  <dc:description/>
  <cp:lastModifiedBy>Liuyang Li</cp:lastModifiedBy>
  <cp:revision>2</cp:revision>
  <dcterms:created xsi:type="dcterms:W3CDTF">2026-05-12T17:55:00Z</dcterms:created>
  <dcterms:modified xsi:type="dcterms:W3CDTF">2026-05-12T17:56:00Z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f37a3c22-c444-46f0-a998-a2d385bd8736</vt:lpwstr>
  </property>
</Properties>
</file>