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3485" w14:textId="73951A1B" w:rsidR="00084A0D" w:rsidRPr="00084A0D" w:rsidRDefault="00084A0D" w:rsidP="00084A0D">
      <w:pPr>
        <w:spacing w:before="120" w:after="80" w:line="276" w:lineRule="auto"/>
        <w:rPr>
          <w:rFonts w:ascii="Times New Roman" w:eastAsia="MS Mincho" w:hAnsi="Times New Roman" w:cs="Times New Roman"/>
          <w:b/>
          <w:kern w:val="0"/>
          <w:szCs w:val="22"/>
          <w14:ligatures w14:val="none"/>
        </w:rPr>
      </w:pPr>
      <w:r w:rsidRPr="00084A0D">
        <w:rPr>
          <w:rFonts w:ascii="Times New Roman" w:eastAsia="MS Mincho" w:hAnsi="Times New Roman" w:cs="Times New Roman"/>
          <w:b/>
          <w:kern w:val="0"/>
          <w:szCs w:val="22"/>
          <w14:ligatures w14:val="none"/>
        </w:rPr>
        <w:t xml:space="preserve">Supplementary Materials: Appendix A </w:t>
      </w:r>
      <w:r>
        <w:rPr>
          <w:rFonts w:ascii="Times New Roman" w:eastAsia="MS Mincho" w:hAnsi="Times New Roman" w:cs="Times New Roman"/>
          <w:b/>
          <w:kern w:val="0"/>
          <w:szCs w:val="22"/>
          <w14:ligatures w14:val="none"/>
        </w:rPr>
        <w:t>(Table 1 and 2)</w:t>
      </w:r>
    </w:p>
    <w:p w14:paraId="7A82FBA8" w14:textId="7782ECFA" w:rsidR="00084A0D" w:rsidRPr="00084A0D" w:rsidRDefault="00084A0D" w:rsidP="00084A0D">
      <w:pPr>
        <w:spacing w:before="120" w:after="80" w:line="276" w:lineRule="auto"/>
        <w:rPr>
          <w:rFonts w:ascii="Times New Roman" w:eastAsia="MS Mincho" w:hAnsi="Times New Roman" w:cs="Times New Roman"/>
          <w:kern w:val="0"/>
          <w:sz w:val="22"/>
          <w:szCs w:val="22"/>
          <w14:ligatures w14:val="none"/>
        </w:rPr>
      </w:pPr>
      <w:r w:rsidRPr="00084A0D">
        <w:rPr>
          <w:rFonts w:ascii="Times New Roman" w:eastAsia="MS Mincho" w:hAnsi="Times New Roman" w:cs="Times New Roman"/>
          <w:b/>
          <w:kern w:val="0"/>
          <w:szCs w:val="22"/>
          <w14:ligatures w14:val="none"/>
        </w:rPr>
        <w:t>Appendix A</w:t>
      </w:r>
    </w:p>
    <w:p w14:paraId="0DFD4E00" w14:textId="77777777" w:rsidR="00084A0D" w:rsidRPr="00084A0D" w:rsidRDefault="00084A0D" w:rsidP="00084A0D">
      <w:pPr>
        <w:spacing w:before="120" w:after="80" w:line="276" w:lineRule="auto"/>
        <w:rPr>
          <w:rFonts w:ascii="Times New Roman" w:eastAsia="MS Mincho" w:hAnsi="Times New Roman" w:cs="Times New Roman"/>
          <w:kern w:val="0"/>
          <w:sz w:val="22"/>
          <w:szCs w:val="22"/>
          <w14:ligatures w14:val="none"/>
        </w:rPr>
      </w:pPr>
      <w:r w:rsidRPr="00084A0D">
        <w:rPr>
          <w:rFonts w:ascii="Times New Roman" w:eastAsia="MS Mincho" w:hAnsi="Times New Roman" w:cs="Times New Roman"/>
          <w:b/>
          <w:kern w:val="0"/>
          <w:sz w:val="20"/>
          <w:szCs w:val="22"/>
          <w14:ligatures w14:val="none"/>
        </w:rPr>
        <w:t>Table A1. Detailed Breakdown of Solid Tumour Types Among Paediatric Cancer Patients (n = 36)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</w:tblGrid>
      <w:tr w:rsidR="00084A0D" w:rsidRPr="00084A0D" w14:paraId="182997B3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49A6141E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b/>
                <w:szCs w:val="28"/>
              </w:rPr>
              <w:t>Solid Tumour Type</w:t>
            </w:r>
          </w:p>
        </w:tc>
        <w:tc>
          <w:tcPr>
            <w:tcW w:w="2196" w:type="dxa"/>
            <w:shd w:val="clear" w:color="auto" w:fill="FFFFFF"/>
          </w:tcPr>
          <w:p w14:paraId="035E8CA2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b/>
                <w:szCs w:val="28"/>
              </w:rPr>
              <w:t>Number of Patients</w:t>
            </w:r>
          </w:p>
        </w:tc>
        <w:tc>
          <w:tcPr>
            <w:tcW w:w="2196" w:type="dxa"/>
            <w:shd w:val="clear" w:color="auto" w:fill="FFFFFF"/>
          </w:tcPr>
          <w:p w14:paraId="5D45CC23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b/>
                <w:szCs w:val="28"/>
              </w:rPr>
              <w:t>% of Solid Tumours</w:t>
            </w:r>
          </w:p>
        </w:tc>
        <w:tc>
          <w:tcPr>
            <w:tcW w:w="2196" w:type="dxa"/>
            <w:shd w:val="clear" w:color="auto" w:fill="FFFFFF"/>
          </w:tcPr>
          <w:p w14:paraId="59B537C6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b/>
                <w:szCs w:val="28"/>
              </w:rPr>
              <w:t>% of Total Cohort</w:t>
            </w:r>
          </w:p>
        </w:tc>
      </w:tr>
      <w:tr w:rsidR="00084A0D" w:rsidRPr="00084A0D" w14:paraId="4B7AD0C1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0EAD6FAB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Nephroblastoma (Wilms' tumour)</w:t>
            </w:r>
          </w:p>
        </w:tc>
        <w:tc>
          <w:tcPr>
            <w:tcW w:w="2196" w:type="dxa"/>
            <w:shd w:val="clear" w:color="auto" w:fill="FFFFFF"/>
          </w:tcPr>
          <w:p w14:paraId="2EA1AB18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2196" w:type="dxa"/>
            <w:shd w:val="clear" w:color="auto" w:fill="FFFFFF"/>
          </w:tcPr>
          <w:p w14:paraId="0B2D857F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33.3%</w:t>
            </w:r>
          </w:p>
        </w:tc>
        <w:tc>
          <w:tcPr>
            <w:tcW w:w="2196" w:type="dxa"/>
            <w:shd w:val="clear" w:color="auto" w:fill="FFFFFF"/>
          </w:tcPr>
          <w:p w14:paraId="6C672171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12.0%</w:t>
            </w:r>
          </w:p>
        </w:tc>
      </w:tr>
      <w:tr w:rsidR="00084A0D" w:rsidRPr="00084A0D" w14:paraId="4E3C7E84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41A75ABF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Retinoblastoma</w:t>
            </w:r>
          </w:p>
        </w:tc>
        <w:tc>
          <w:tcPr>
            <w:tcW w:w="2196" w:type="dxa"/>
            <w:shd w:val="clear" w:color="auto" w:fill="FFFFFF"/>
          </w:tcPr>
          <w:p w14:paraId="4C513B09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196" w:type="dxa"/>
            <w:shd w:val="clear" w:color="auto" w:fill="FFFFFF"/>
          </w:tcPr>
          <w:p w14:paraId="6352A674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22.2%</w:t>
            </w:r>
          </w:p>
        </w:tc>
        <w:tc>
          <w:tcPr>
            <w:tcW w:w="2196" w:type="dxa"/>
            <w:shd w:val="clear" w:color="auto" w:fill="FFFFFF"/>
          </w:tcPr>
          <w:p w14:paraId="74C89657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8.0%</w:t>
            </w:r>
          </w:p>
        </w:tc>
      </w:tr>
      <w:tr w:rsidR="00084A0D" w:rsidRPr="00084A0D" w14:paraId="155E9AE9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01CE71FD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Neuroblastoma</w:t>
            </w:r>
          </w:p>
        </w:tc>
        <w:tc>
          <w:tcPr>
            <w:tcW w:w="2196" w:type="dxa"/>
            <w:shd w:val="clear" w:color="auto" w:fill="FFFFFF"/>
          </w:tcPr>
          <w:p w14:paraId="67F796D4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196" w:type="dxa"/>
            <w:shd w:val="clear" w:color="auto" w:fill="FFFFFF"/>
          </w:tcPr>
          <w:p w14:paraId="20622B65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19.4%</w:t>
            </w:r>
          </w:p>
        </w:tc>
        <w:tc>
          <w:tcPr>
            <w:tcW w:w="2196" w:type="dxa"/>
            <w:shd w:val="clear" w:color="auto" w:fill="FFFFFF"/>
          </w:tcPr>
          <w:p w14:paraId="71278D24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7.0%</w:t>
            </w:r>
          </w:p>
        </w:tc>
      </w:tr>
      <w:tr w:rsidR="00084A0D" w:rsidRPr="00084A0D" w14:paraId="5269499C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6969A7CC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Bone tumours</w:t>
            </w:r>
          </w:p>
        </w:tc>
        <w:tc>
          <w:tcPr>
            <w:tcW w:w="2196" w:type="dxa"/>
            <w:shd w:val="clear" w:color="auto" w:fill="FFFFFF"/>
          </w:tcPr>
          <w:p w14:paraId="15571E12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196" w:type="dxa"/>
            <w:shd w:val="clear" w:color="auto" w:fill="FFFFFF"/>
          </w:tcPr>
          <w:p w14:paraId="4A294DAA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13.9%</w:t>
            </w:r>
          </w:p>
        </w:tc>
        <w:tc>
          <w:tcPr>
            <w:tcW w:w="2196" w:type="dxa"/>
            <w:shd w:val="clear" w:color="auto" w:fill="FFFFFF"/>
          </w:tcPr>
          <w:p w14:paraId="2D954448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5.0%</w:t>
            </w:r>
          </w:p>
        </w:tc>
      </w:tr>
      <w:tr w:rsidR="00084A0D" w:rsidRPr="00084A0D" w14:paraId="4721820B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2C39BC24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Hepatoblastoma</w:t>
            </w:r>
          </w:p>
        </w:tc>
        <w:tc>
          <w:tcPr>
            <w:tcW w:w="2196" w:type="dxa"/>
            <w:shd w:val="clear" w:color="auto" w:fill="FFFFFF"/>
          </w:tcPr>
          <w:p w14:paraId="3DF37C15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196" w:type="dxa"/>
            <w:shd w:val="clear" w:color="auto" w:fill="FFFFFF"/>
          </w:tcPr>
          <w:p w14:paraId="40EC04A6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5.6%</w:t>
            </w:r>
          </w:p>
        </w:tc>
        <w:tc>
          <w:tcPr>
            <w:tcW w:w="2196" w:type="dxa"/>
            <w:shd w:val="clear" w:color="auto" w:fill="FFFFFF"/>
          </w:tcPr>
          <w:p w14:paraId="397B3809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2.0%</w:t>
            </w:r>
          </w:p>
        </w:tc>
      </w:tr>
      <w:tr w:rsidR="00084A0D" w:rsidRPr="00084A0D" w14:paraId="4A44AE3F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6B86B27D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Germ cell tumours</w:t>
            </w:r>
          </w:p>
        </w:tc>
        <w:tc>
          <w:tcPr>
            <w:tcW w:w="2196" w:type="dxa"/>
            <w:shd w:val="clear" w:color="auto" w:fill="FFFFFF"/>
          </w:tcPr>
          <w:p w14:paraId="297A6517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96" w:type="dxa"/>
            <w:shd w:val="clear" w:color="auto" w:fill="FFFFFF"/>
          </w:tcPr>
          <w:p w14:paraId="5784EA9C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2.8%</w:t>
            </w:r>
          </w:p>
        </w:tc>
        <w:tc>
          <w:tcPr>
            <w:tcW w:w="2196" w:type="dxa"/>
            <w:shd w:val="clear" w:color="auto" w:fill="FFFFFF"/>
          </w:tcPr>
          <w:p w14:paraId="212958E9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1.0%</w:t>
            </w:r>
          </w:p>
        </w:tc>
      </w:tr>
      <w:tr w:rsidR="00084A0D" w:rsidRPr="00084A0D" w14:paraId="75CBDB93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47DD8B4A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Soft tissue sarcomas</w:t>
            </w:r>
          </w:p>
        </w:tc>
        <w:tc>
          <w:tcPr>
            <w:tcW w:w="2196" w:type="dxa"/>
            <w:shd w:val="clear" w:color="auto" w:fill="FFFFFF"/>
          </w:tcPr>
          <w:p w14:paraId="19357F03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96" w:type="dxa"/>
            <w:shd w:val="clear" w:color="auto" w:fill="FFFFFF"/>
          </w:tcPr>
          <w:p w14:paraId="3456437F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2.8%</w:t>
            </w:r>
          </w:p>
        </w:tc>
        <w:tc>
          <w:tcPr>
            <w:tcW w:w="2196" w:type="dxa"/>
            <w:shd w:val="clear" w:color="auto" w:fill="FFFFFF"/>
          </w:tcPr>
          <w:p w14:paraId="6C683BD2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1.0%</w:t>
            </w:r>
          </w:p>
        </w:tc>
      </w:tr>
      <w:tr w:rsidR="00084A0D" w:rsidRPr="00084A0D" w14:paraId="0A8E8EBC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28B39303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b/>
                <w:szCs w:val="28"/>
              </w:rPr>
              <w:t>Total</w:t>
            </w:r>
          </w:p>
        </w:tc>
        <w:tc>
          <w:tcPr>
            <w:tcW w:w="2196" w:type="dxa"/>
            <w:shd w:val="clear" w:color="auto" w:fill="FFFFFF"/>
          </w:tcPr>
          <w:p w14:paraId="0C1B9044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36</w:t>
            </w:r>
          </w:p>
        </w:tc>
        <w:tc>
          <w:tcPr>
            <w:tcW w:w="2196" w:type="dxa"/>
            <w:shd w:val="clear" w:color="auto" w:fill="FFFFFF"/>
          </w:tcPr>
          <w:p w14:paraId="187A40B2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100.0%</w:t>
            </w:r>
          </w:p>
        </w:tc>
        <w:tc>
          <w:tcPr>
            <w:tcW w:w="2196" w:type="dxa"/>
            <w:shd w:val="clear" w:color="auto" w:fill="FFFFFF"/>
          </w:tcPr>
          <w:p w14:paraId="2510A4CA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36.0%</w:t>
            </w:r>
          </w:p>
        </w:tc>
      </w:tr>
    </w:tbl>
    <w:p w14:paraId="1A06825D" w14:textId="77777777" w:rsidR="00084A0D" w:rsidRPr="00084A0D" w:rsidRDefault="00084A0D" w:rsidP="00084A0D">
      <w:pPr>
        <w:spacing w:after="200" w:line="276" w:lineRule="auto"/>
        <w:rPr>
          <w:rFonts w:ascii="Times New Roman" w:eastAsia="MS Mincho" w:hAnsi="Times New Roman" w:cs="Times New Roman"/>
          <w:kern w:val="0"/>
          <w:sz w:val="22"/>
          <w:szCs w:val="22"/>
          <w14:ligatures w14:val="none"/>
        </w:rPr>
      </w:pPr>
    </w:p>
    <w:p w14:paraId="06C3E8E1" w14:textId="77777777" w:rsidR="00084A0D" w:rsidRPr="00084A0D" w:rsidRDefault="00084A0D" w:rsidP="00084A0D">
      <w:pPr>
        <w:spacing w:after="200" w:line="276" w:lineRule="auto"/>
        <w:rPr>
          <w:rFonts w:ascii="Times New Roman" w:eastAsia="MS Mincho" w:hAnsi="Times New Roman" w:cs="Times New Roman"/>
          <w:kern w:val="0"/>
          <w:sz w:val="22"/>
          <w:szCs w:val="22"/>
          <w14:ligatures w14:val="none"/>
        </w:rPr>
      </w:pPr>
    </w:p>
    <w:p w14:paraId="24C9B0F8" w14:textId="77777777" w:rsidR="00084A0D" w:rsidRPr="00084A0D" w:rsidRDefault="00084A0D" w:rsidP="00084A0D">
      <w:pPr>
        <w:spacing w:before="120" w:after="80" w:line="276" w:lineRule="auto"/>
        <w:rPr>
          <w:rFonts w:ascii="Times New Roman" w:eastAsia="MS Mincho" w:hAnsi="Times New Roman" w:cs="Times New Roman"/>
          <w:kern w:val="0"/>
          <w:sz w:val="22"/>
          <w:szCs w:val="22"/>
          <w14:ligatures w14:val="none"/>
        </w:rPr>
      </w:pPr>
      <w:r w:rsidRPr="00084A0D">
        <w:rPr>
          <w:rFonts w:ascii="Times New Roman" w:eastAsia="MS Mincho" w:hAnsi="Times New Roman" w:cs="Times New Roman"/>
          <w:b/>
          <w:kern w:val="0"/>
          <w:sz w:val="20"/>
          <w:szCs w:val="22"/>
          <w14:ligatures w14:val="none"/>
        </w:rPr>
        <w:t>Table A2. Comparison of Key Indicators: Pandemic Period vs. Pre-Pandemic Baseline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</w:tblGrid>
      <w:tr w:rsidR="00084A0D" w:rsidRPr="00084A0D" w14:paraId="561F2B78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6896DA88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b/>
                <w:szCs w:val="28"/>
              </w:rPr>
              <w:t>Indicator</w:t>
            </w:r>
          </w:p>
        </w:tc>
        <w:tc>
          <w:tcPr>
            <w:tcW w:w="2196" w:type="dxa"/>
            <w:shd w:val="clear" w:color="auto" w:fill="FFFFFF"/>
          </w:tcPr>
          <w:p w14:paraId="7E4A7556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b/>
                <w:szCs w:val="28"/>
              </w:rPr>
              <w:t>Pre-Pandemic (2018–2019)</w:t>
            </w:r>
          </w:p>
        </w:tc>
        <w:tc>
          <w:tcPr>
            <w:tcW w:w="2196" w:type="dxa"/>
            <w:shd w:val="clear" w:color="auto" w:fill="FFFFFF"/>
          </w:tcPr>
          <w:p w14:paraId="09844D98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b/>
                <w:szCs w:val="28"/>
              </w:rPr>
              <w:t>Pandemic (Mar–Sep 2020)</w:t>
            </w:r>
          </w:p>
        </w:tc>
        <w:tc>
          <w:tcPr>
            <w:tcW w:w="2196" w:type="dxa"/>
            <w:shd w:val="clear" w:color="auto" w:fill="FFFFFF"/>
          </w:tcPr>
          <w:p w14:paraId="33A182AE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b/>
                <w:szCs w:val="28"/>
              </w:rPr>
              <w:t>Change</w:t>
            </w:r>
          </w:p>
        </w:tc>
      </w:tr>
      <w:tr w:rsidR="00084A0D" w:rsidRPr="00084A0D" w14:paraId="00481386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04D387C5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Monthly patient volume</w:t>
            </w:r>
          </w:p>
        </w:tc>
        <w:tc>
          <w:tcPr>
            <w:tcW w:w="2196" w:type="dxa"/>
            <w:shd w:val="clear" w:color="auto" w:fill="FFFFFF"/>
          </w:tcPr>
          <w:p w14:paraId="420C36A1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75 patients/month</w:t>
            </w:r>
          </w:p>
        </w:tc>
        <w:tc>
          <w:tcPr>
            <w:tcW w:w="2196" w:type="dxa"/>
            <w:shd w:val="clear" w:color="auto" w:fill="FFFFFF"/>
          </w:tcPr>
          <w:p w14:paraId="6998A2D1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8.3 patients/month</w:t>
            </w:r>
          </w:p>
        </w:tc>
        <w:tc>
          <w:tcPr>
            <w:tcW w:w="2196" w:type="dxa"/>
            <w:shd w:val="clear" w:color="auto" w:fill="FFFFFF"/>
          </w:tcPr>
          <w:p w14:paraId="1FAB0E16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−89%</w:t>
            </w:r>
          </w:p>
        </w:tc>
      </w:tr>
      <w:tr w:rsidR="00084A0D" w:rsidRPr="00084A0D" w14:paraId="79DE5447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6821B1A0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In-hospital mortality rate</w:t>
            </w:r>
          </w:p>
        </w:tc>
        <w:tc>
          <w:tcPr>
            <w:tcW w:w="2196" w:type="dxa"/>
            <w:shd w:val="clear" w:color="auto" w:fill="FFFFFF"/>
          </w:tcPr>
          <w:p w14:paraId="6FA83EEF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18%</w:t>
            </w:r>
          </w:p>
        </w:tc>
        <w:tc>
          <w:tcPr>
            <w:tcW w:w="2196" w:type="dxa"/>
            <w:shd w:val="clear" w:color="auto" w:fill="FFFFFF"/>
          </w:tcPr>
          <w:p w14:paraId="2483500F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35%</w:t>
            </w:r>
          </w:p>
        </w:tc>
        <w:tc>
          <w:tcPr>
            <w:tcW w:w="2196" w:type="dxa"/>
            <w:shd w:val="clear" w:color="auto" w:fill="FFFFFF"/>
          </w:tcPr>
          <w:p w14:paraId="5CA32564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+94% (relative)</w:t>
            </w:r>
          </w:p>
        </w:tc>
      </w:tr>
      <w:tr w:rsidR="00084A0D" w:rsidRPr="00084A0D" w14:paraId="37D578A5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615417A9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Treatment abandonment rate</w:t>
            </w:r>
          </w:p>
        </w:tc>
        <w:tc>
          <w:tcPr>
            <w:tcW w:w="2196" w:type="dxa"/>
            <w:shd w:val="clear" w:color="auto" w:fill="FFFFFF"/>
          </w:tcPr>
          <w:p w14:paraId="721C8F93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22%</w:t>
            </w:r>
          </w:p>
        </w:tc>
        <w:tc>
          <w:tcPr>
            <w:tcW w:w="2196" w:type="dxa"/>
            <w:shd w:val="clear" w:color="auto" w:fill="FFFFFF"/>
          </w:tcPr>
          <w:p w14:paraId="4CBCEACB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11%*</w:t>
            </w:r>
          </w:p>
        </w:tc>
        <w:tc>
          <w:tcPr>
            <w:tcW w:w="2196" w:type="dxa"/>
            <w:shd w:val="clear" w:color="auto" w:fill="FFFFFF"/>
          </w:tcPr>
          <w:p w14:paraId="06885946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−50% (relative)</w:t>
            </w:r>
          </w:p>
        </w:tc>
      </w:tr>
      <w:tr w:rsidR="00084A0D" w:rsidRPr="00084A0D" w14:paraId="395B2159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13821DD9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Missed appointment rate</w:t>
            </w:r>
          </w:p>
        </w:tc>
        <w:tc>
          <w:tcPr>
            <w:tcW w:w="2196" w:type="dxa"/>
            <w:shd w:val="clear" w:color="auto" w:fill="FFFFFF"/>
          </w:tcPr>
          <w:p w14:paraId="01BFC163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8%</w:t>
            </w:r>
          </w:p>
        </w:tc>
        <w:tc>
          <w:tcPr>
            <w:tcW w:w="2196" w:type="dxa"/>
            <w:shd w:val="clear" w:color="auto" w:fill="FFFFFF"/>
          </w:tcPr>
          <w:p w14:paraId="346AA53E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26%</w:t>
            </w:r>
          </w:p>
        </w:tc>
        <w:tc>
          <w:tcPr>
            <w:tcW w:w="2196" w:type="dxa"/>
            <w:shd w:val="clear" w:color="auto" w:fill="FFFFFF"/>
          </w:tcPr>
          <w:p w14:paraId="7A5210CA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+225% (relative)</w:t>
            </w:r>
          </w:p>
        </w:tc>
      </w:tr>
      <w:tr w:rsidR="00084A0D" w:rsidRPr="00084A0D" w14:paraId="5FC0F51D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781B38DB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Low-SES patient proportion</w:t>
            </w:r>
          </w:p>
        </w:tc>
        <w:tc>
          <w:tcPr>
            <w:tcW w:w="2196" w:type="dxa"/>
            <w:shd w:val="clear" w:color="auto" w:fill="FFFFFF"/>
          </w:tcPr>
          <w:p w14:paraId="47612E7B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58%</w:t>
            </w:r>
          </w:p>
        </w:tc>
        <w:tc>
          <w:tcPr>
            <w:tcW w:w="2196" w:type="dxa"/>
            <w:shd w:val="clear" w:color="auto" w:fill="FFFFFF"/>
          </w:tcPr>
          <w:p w14:paraId="76410783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68%</w:t>
            </w:r>
          </w:p>
        </w:tc>
        <w:tc>
          <w:tcPr>
            <w:tcW w:w="2196" w:type="dxa"/>
            <w:shd w:val="clear" w:color="auto" w:fill="FFFFFF"/>
          </w:tcPr>
          <w:p w14:paraId="37CA1CD5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+10 percentage points</w:t>
            </w:r>
          </w:p>
        </w:tc>
      </w:tr>
      <w:tr w:rsidR="00084A0D" w:rsidRPr="00084A0D" w14:paraId="14F5FCFC" w14:textId="77777777" w:rsidTr="00084A0D">
        <w:trPr>
          <w:jc w:val="center"/>
        </w:trPr>
        <w:tc>
          <w:tcPr>
            <w:tcW w:w="2196" w:type="dxa"/>
            <w:shd w:val="clear" w:color="auto" w:fill="FFFFFF"/>
          </w:tcPr>
          <w:p w14:paraId="08883C4B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Advanced-stage presentation (III–IV)</w:t>
            </w:r>
          </w:p>
        </w:tc>
        <w:tc>
          <w:tcPr>
            <w:tcW w:w="2196" w:type="dxa"/>
            <w:shd w:val="clear" w:color="auto" w:fill="FFFFFF"/>
          </w:tcPr>
          <w:p w14:paraId="6D7DCC28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60%</w:t>
            </w:r>
          </w:p>
        </w:tc>
        <w:tc>
          <w:tcPr>
            <w:tcW w:w="2196" w:type="dxa"/>
            <w:shd w:val="clear" w:color="auto" w:fill="FFFFFF"/>
          </w:tcPr>
          <w:p w14:paraId="0E0DFC3E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62%</w:t>
            </w:r>
          </w:p>
        </w:tc>
        <w:tc>
          <w:tcPr>
            <w:tcW w:w="2196" w:type="dxa"/>
            <w:shd w:val="clear" w:color="auto" w:fill="FFFFFF"/>
          </w:tcPr>
          <w:p w14:paraId="4992849B" w14:textId="77777777" w:rsidR="00084A0D" w:rsidRPr="00084A0D" w:rsidRDefault="00084A0D" w:rsidP="00084A0D">
            <w:pPr>
              <w:rPr>
                <w:rFonts w:ascii="Times New Roman" w:hAnsi="Times New Roman" w:cs="Times New Roman"/>
                <w:szCs w:val="28"/>
              </w:rPr>
            </w:pPr>
            <w:r w:rsidRPr="00084A0D">
              <w:rPr>
                <w:rFonts w:ascii="Times New Roman" w:hAnsi="Times New Roman" w:cs="Times New Roman"/>
                <w:szCs w:val="28"/>
              </w:rPr>
              <w:t>+2 percentage points</w:t>
            </w:r>
          </w:p>
        </w:tc>
      </w:tr>
    </w:tbl>
    <w:p w14:paraId="3BF71EBF" w14:textId="77777777" w:rsidR="00084A0D" w:rsidRPr="00084A0D" w:rsidRDefault="00084A0D" w:rsidP="00084A0D">
      <w:pPr>
        <w:spacing w:after="120" w:line="276" w:lineRule="auto"/>
        <w:rPr>
          <w:rFonts w:ascii="Times New Roman" w:eastAsia="MS Mincho" w:hAnsi="Times New Roman" w:cs="Times New Roman"/>
          <w:kern w:val="0"/>
          <w:sz w:val="22"/>
          <w:szCs w:val="22"/>
          <w14:ligatures w14:val="none"/>
        </w:rPr>
      </w:pPr>
      <w:r w:rsidRPr="00084A0D">
        <w:rPr>
          <w:rFonts w:ascii="Times New Roman" w:eastAsia="MS Mincho" w:hAnsi="Times New Roman" w:cs="Times New Roman"/>
          <w:i/>
          <w:kern w:val="0"/>
          <w:sz w:val="18"/>
          <w:szCs w:val="22"/>
          <w14:ligatures w14:val="none"/>
        </w:rPr>
        <w:t>*Among patients who reached the NCI; excludes patients who never initiated treatment.</w:t>
      </w:r>
    </w:p>
    <w:p w14:paraId="12635F01" w14:textId="77777777" w:rsidR="00084A0D" w:rsidRPr="00084A0D" w:rsidRDefault="00084A0D" w:rsidP="00084A0D">
      <w:pPr>
        <w:spacing w:after="200" w:line="276" w:lineRule="auto"/>
        <w:rPr>
          <w:rFonts w:ascii="Times New Roman" w:eastAsia="MS Mincho" w:hAnsi="Times New Roman" w:cs="Times New Roman"/>
          <w:kern w:val="0"/>
          <w:sz w:val="22"/>
          <w:szCs w:val="22"/>
          <w14:ligatures w14:val="none"/>
        </w:rPr>
      </w:pPr>
    </w:p>
    <w:p w14:paraId="52B18CF3" w14:textId="77777777" w:rsidR="00950E51" w:rsidRDefault="00950E51"/>
    <w:sectPr w:rsidR="00950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0D"/>
    <w:rsid w:val="00084A0D"/>
    <w:rsid w:val="0017111F"/>
    <w:rsid w:val="002024F1"/>
    <w:rsid w:val="008A5983"/>
    <w:rsid w:val="00942D49"/>
    <w:rsid w:val="00950E51"/>
    <w:rsid w:val="00F1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A587A"/>
  <w15:chartTrackingRefBased/>
  <w15:docId w15:val="{A096938E-122E-4269-9F88-1833F526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4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A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A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A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A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A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A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84A0D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Sanusi Mohammad Bello</dc:creator>
  <cp:keywords/>
  <dc:description/>
  <cp:lastModifiedBy>Sanusi Mohammad Bello</cp:lastModifiedBy>
  <cp:revision>1</cp:revision>
  <dcterms:created xsi:type="dcterms:W3CDTF">2026-05-20T11:17:00Z</dcterms:created>
  <dcterms:modified xsi:type="dcterms:W3CDTF">2026-05-20T11:19:00Z</dcterms:modified>
</cp:coreProperties>
</file>