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06DD5" w14:textId="674CFBBD" w:rsidR="00464E43" w:rsidRDefault="002B518A" w:rsidP="00464E43">
      <w:pPr>
        <w:spacing w:line="360" w:lineRule="auto"/>
        <w:jc w:val="both"/>
        <w:rPr>
          <w:rFonts w:ascii="Times New Roman" w:hAnsi="Times New Roman" w:cs="Times New Roman"/>
        </w:rPr>
      </w:pPr>
      <w:r>
        <w:rPr>
          <w:rFonts w:ascii="Times New Roman" w:hAnsi="Times New Roman" w:cs="Times New Roman" w:hint="eastAsia"/>
          <w:noProof/>
        </w:rPr>
        <w:drawing>
          <wp:inline distT="0" distB="0" distL="0" distR="0" wp14:anchorId="0F6282C4" wp14:editId="486465AB">
            <wp:extent cx="5943600" cy="6143625"/>
            <wp:effectExtent l="0" t="0" r="0" b="3175"/>
            <wp:docPr id="2104936241"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36241" name="Picture 2" descr="A close-up of a graph&#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143625"/>
                    </a:xfrm>
                    <a:prstGeom prst="rect">
                      <a:avLst/>
                    </a:prstGeom>
                  </pic:spPr>
                </pic:pic>
              </a:graphicData>
            </a:graphic>
          </wp:inline>
        </w:drawing>
      </w:r>
    </w:p>
    <w:p w14:paraId="362253BB" w14:textId="75B8AA3F" w:rsidR="00464E43" w:rsidRDefault="004F0B70" w:rsidP="00464E43">
      <w:pPr>
        <w:spacing w:line="360" w:lineRule="auto"/>
        <w:jc w:val="both"/>
        <w:rPr>
          <w:rFonts w:ascii="Times New Roman" w:hAnsi="Times New Roman" w:cs="Times New Roman"/>
          <w:b/>
          <w:bCs/>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64E43">
        <w:rPr>
          <w:rFonts w:ascii="Times New Roman" w:hAnsi="Times New Roman" w:cs="Times New Roman"/>
          <w:b/>
          <w:bCs/>
        </w:rPr>
        <w:t xml:space="preserve">1. </w:t>
      </w:r>
      <w:r w:rsidR="00456CE9" w:rsidRPr="00456CE9">
        <w:rPr>
          <w:rFonts w:ascii="Times New Roman" w:hAnsi="Times New Roman" w:cs="Times New Roman"/>
        </w:rPr>
        <w:t xml:space="preserve">Transposable element composition and structural variation across the ginseng pangenome. </w:t>
      </w:r>
      <w:r w:rsidR="00456CE9" w:rsidRPr="00456CE9">
        <w:rPr>
          <w:rFonts w:ascii="Times New Roman" w:hAnsi="Times New Roman" w:cs="Times New Roman"/>
          <w:b/>
          <w:bCs/>
        </w:rPr>
        <w:t>a,</w:t>
      </w:r>
      <w:r w:rsidR="00456CE9" w:rsidRPr="00456CE9">
        <w:rPr>
          <w:rFonts w:ascii="Times New Roman" w:hAnsi="Times New Roman" w:cs="Times New Roman"/>
        </w:rPr>
        <w:t xml:space="preserve"> Composition of major transposable element (TE) classes across the 16 ginseng genome assemblies. Stacked bars show the proportion of each TE category. </w:t>
      </w:r>
      <w:r w:rsidR="00456CE9" w:rsidRPr="00456CE9">
        <w:rPr>
          <w:rFonts w:ascii="Times New Roman" w:hAnsi="Times New Roman" w:cs="Times New Roman"/>
          <w:b/>
          <w:bCs/>
        </w:rPr>
        <w:t>b,</w:t>
      </w:r>
      <w:r w:rsidR="00456CE9" w:rsidRPr="00456CE9">
        <w:rPr>
          <w:rFonts w:ascii="Times New Roman" w:hAnsi="Times New Roman" w:cs="Times New Roman"/>
        </w:rPr>
        <w:t xml:space="preserve"> Relationship between total TE content and assembled genome size across the 16 ginseng assemblies. Each point represents an individual accession, highlighting the strong correlation between genome size variation and repeat content. </w:t>
      </w:r>
      <w:r w:rsidR="00456CE9">
        <w:rPr>
          <w:rFonts w:ascii="Times New Roman" w:hAnsi="Times New Roman" w:cs="Times New Roman"/>
          <w:b/>
          <w:bCs/>
        </w:rPr>
        <w:t>c</w:t>
      </w:r>
      <w:r w:rsidR="00464E43">
        <w:rPr>
          <w:rFonts w:ascii="Times New Roman" w:hAnsi="Times New Roman" w:cs="Times New Roman"/>
          <w:b/>
          <w:bCs/>
        </w:rPr>
        <w:t>,</w:t>
      </w:r>
      <w:r w:rsidR="00464E43">
        <w:rPr>
          <w:rFonts w:ascii="Times New Roman" w:hAnsi="Times New Roman" w:cs="Times New Roman"/>
        </w:rPr>
        <w:t xml:space="preserve"> Relationship between assembled genome size and the length of major transposable element (TE) categories across pangenome assemblies. </w:t>
      </w:r>
      <w:r w:rsidR="00456CE9">
        <w:rPr>
          <w:rFonts w:ascii="Times New Roman" w:hAnsi="Times New Roman" w:cs="Times New Roman"/>
          <w:b/>
          <w:bCs/>
        </w:rPr>
        <w:t>d</w:t>
      </w:r>
      <w:r w:rsidR="00464E43">
        <w:rPr>
          <w:rFonts w:ascii="Times New Roman" w:hAnsi="Times New Roman" w:cs="Times New Roman"/>
          <w:b/>
          <w:bCs/>
        </w:rPr>
        <w:t>,</w:t>
      </w:r>
      <w:r w:rsidR="00464E43">
        <w:rPr>
          <w:rFonts w:ascii="Times New Roman" w:hAnsi="Times New Roman" w:cs="Times New Roman"/>
        </w:rPr>
        <w:t xml:space="preserve"> Correlation between total </w:t>
      </w:r>
      <w:r w:rsidR="00464E43">
        <w:rPr>
          <w:rFonts w:ascii="Times New Roman" w:hAnsi="Times New Roman" w:cs="Times New Roman"/>
        </w:rPr>
        <w:lastRenderedPageBreak/>
        <w:t>repeat contraction and assembled genome size. The cumulative length of repeat contraction (Mbp) is plotted against final assembly size (Gbp), revealing a strong negative correlation in which accessions with larger repeat contractions exhibit smaller genome assemblies.</w:t>
      </w:r>
      <w:r w:rsidR="00456CE9">
        <w:rPr>
          <w:rFonts w:ascii="Times New Roman" w:hAnsi="Times New Roman" w:cs="Times New Roman"/>
        </w:rPr>
        <w:t xml:space="preserve"> </w:t>
      </w:r>
      <w:r w:rsidR="00456CE9" w:rsidRPr="00456CE9">
        <w:rPr>
          <w:rFonts w:ascii="Times New Roman" w:hAnsi="Times New Roman" w:cs="Times New Roman"/>
          <w:b/>
          <w:bCs/>
        </w:rPr>
        <w:t>e,</w:t>
      </w:r>
      <w:r w:rsidR="00456CE9" w:rsidRPr="00456CE9">
        <w:rPr>
          <w:rFonts w:ascii="Times New Roman" w:hAnsi="Times New Roman" w:cs="Times New Roman"/>
        </w:rPr>
        <w:t xml:space="preserve"> Summary of structural variation detected in 15 pangenome assemblies relative to the Geumsun reference. Bars indicate the total genomic span of different classes of structural variants, including insertions, deletions, tandem expansions and contractions, and repeat-associated changes.</w:t>
      </w:r>
      <w:r w:rsidR="00456CE9">
        <w:rPr>
          <w:rFonts w:ascii="Times New Roman" w:hAnsi="Times New Roman" w:cs="Times New Roman"/>
        </w:rPr>
        <w:t xml:space="preserve"> </w:t>
      </w:r>
      <w:r w:rsidR="00464E43">
        <w:rPr>
          <w:rFonts w:ascii="Times New Roman" w:hAnsi="Times New Roman" w:cs="Times New Roman"/>
        </w:rPr>
        <w:br w:type="page"/>
      </w:r>
    </w:p>
    <w:p w14:paraId="5DF2EE1F" w14:textId="77777777" w:rsidR="00464E43" w:rsidRDefault="00464E43" w:rsidP="00464E43">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063F9980" wp14:editId="50F07FBE">
            <wp:extent cx="5943600" cy="3006725"/>
            <wp:effectExtent l="0" t="0" r="0" b="3175"/>
            <wp:docPr id="47094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4515" name="Picture 470945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006725"/>
                    </a:xfrm>
                    <a:prstGeom prst="rect">
                      <a:avLst/>
                    </a:prstGeom>
                  </pic:spPr>
                </pic:pic>
              </a:graphicData>
            </a:graphic>
          </wp:inline>
        </w:drawing>
      </w:r>
    </w:p>
    <w:p w14:paraId="4BA5F626" w14:textId="543C0D13" w:rsidR="00464E43" w:rsidRDefault="004F0B70" w:rsidP="00464E43">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64E43">
        <w:rPr>
          <w:rFonts w:ascii="Times New Roman" w:hAnsi="Times New Roman" w:cs="Times New Roman"/>
          <w:b/>
          <w:bCs/>
        </w:rPr>
        <w:t xml:space="preserve">2. </w:t>
      </w:r>
      <w:r w:rsidR="00464E43">
        <w:rPr>
          <w:rFonts w:ascii="Times New Roman" w:hAnsi="Times New Roman" w:cs="Times New Roman"/>
        </w:rPr>
        <w:t xml:space="preserve">Genome-wide synteny analysis across nine chromosome-scale ginseng assemblies. Syntenic blocks are shown in grey, with structural rearrangements highlighted, including large inversions on chromosome 10 and interchromosomal translocations involving chromosomes 9, 17 and 23. </w:t>
      </w:r>
      <w:r w:rsidR="00464E43">
        <w:rPr>
          <w:rFonts w:ascii="Times New Roman" w:hAnsi="Times New Roman" w:cs="Times New Roman"/>
        </w:rPr>
        <w:br w:type="page"/>
      </w:r>
    </w:p>
    <w:p w14:paraId="38E0F64F" w14:textId="77777777" w:rsidR="00464E43" w:rsidRDefault="00464E43" w:rsidP="00464E43">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3561775D" wp14:editId="772CEE5E">
            <wp:extent cx="5943600" cy="5820410"/>
            <wp:effectExtent l="0" t="0" r="0" b="0"/>
            <wp:docPr id="251435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435072" name="Picture 25143507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820410"/>
                    </a:xfrm>
                    <a:prstGeom prst="rect">
                      <a:avLst/>
                    </a:prstGeom>
                  </pic:spPr>
                </pic:pic>
              </a:graphicData>
            </a:graphic>
          </wp:inline>
        </w:drawing>
      </w:r>
    </w:p>
    <w:p w14:paraId="545140FE" w14:textId="026F8FB6" w:rsidR="00456CE9" w:rsidRDefault="004F0B70" w:rsidP="00456CE9">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64E43">
        <w:rPr>
          <w:rFonts w:ascii="Times New Roman" w:hAnsi="Times New Roman" w:cs="Times New Roman"/>
          <w:b/>
          <w:bCs/>
        </w:rPr>
        <w:t xml:space="preserve">3. </w:t>
      </w:r>
      <w:r w:rsidR="00464E43" w:rsidRPr="00C00EEA">
        <w:rPr>
          <w:rFonts w:ascii="Times New Roman" w:hAnsi="Times New Roman" w:cs="Times New Roman"/>
        </w:rPr>
        <w:t xml:space="preserve">Hi-C interaction abnormalities and matching read-depth signatures </w:t>
      </w:r>
      <w:r w:rsidR="00464E43">
        <w:rPr>
          <w:rFonts w:ascii="Times New Roman" w:hAnsi="Times New Roman" w:cs="Times New Roman"/>
        </w:rPr>
        <w:t>of</w:t>
      </w:r>
      <w:r w:rsidR="00464E43" w:rsidRPr="00C00EEA">
        <w:rPr>
          <w:rFonts w:ascii="Times New Roman" w:hAnsi="Times New Roman" w:cs="Times New Roman"/>
        </w:rPr>
        <w:t xml:space="preserve"> Geumsun and TYP.</w:t>
      </w:r>
      <w:r w:rsidR="00464E43">
        <w:rPr>
          <w:rFonts w:ascii="Times New Roman" w:hAnsi="Times New Roman" w:cs="Times New Roman"/>
          <w:b/>
          <w:bCs/>
        </w:rPr>
        <w:t xml:space="preserve"> a, </w:t>
      </w:r>
      <w:r w:rsidR="00464E43">
        <w:rPr>
          <w:rFonts w:ascii="Times New Roman" w:hAnsi="Times New Roman" w:cs="Times New Roman"/>
        </w:rPr>
        <w:t xml:space="preserve">Inter-chromosomal Hi-C contact maps for representative ginseng assemblies. Geumsun shows predominantly intrachromosomal interaction patterns, consistent with a structurally stable genome. </w:t>
      </w:r>
      <w:r w:rsidR="00464E43" w:rsidRPr="006F111D">
        <w:rPr>
          <w:rFonts w:ascii="Times New Roman" w:hAnsi="Times New Roman" w:cs="Times New Roman"/>
        </w:rPr>
        <w:t>In contrast, TYP shows multiple non-regular inter-chromosomal interaction signals, highlighted by colored blocks, indicative of chromosomal rearrangements.</w:t>
      </w:r>
      <w:r w:rsidR="00464E43">
        <w:rPr>
          <w:rFonts w:ascii="Times New Roman" w:hAnsi="Times New Roman" w:cs="Times New Roman"/>
        </w:rPr>
        <w:t xml:space="preserve"> </w:t>
      </w:r>
      <w:r w:rsidR="00464E43">
        <w:rPr>
          <w:rFonts w:ascii="Times New Roman" w:hAnsi="Times New Roman" w:cs="Times New Roman"/>
          <w:b/>
          <w:bCs/>
        </w:rPr>
        <w:t>b,</w:t>
      </w:r>
      <w:r w:rsidR="00464E43">
        <w:rPr>
          <w:rFonts w:ascii="Times New Roman" w:hAnsi="Times New Roman" w:cs="Times New Roman"/>
        </w:rPr>
        <w:t xml:space="preserve"> </w:t>
      </w:r>
      <w:r w:rsidR="00464E43" w:rsidRPr="006F111D">
        <w:rPr>
          <w:rFonts w:ascii="Times New Roman" w:hAnsi="Times New Roman" w:cs="Times New Roman"/>
        </w:rPr>
        <w:t xml:space="preserve">Corresponding HiFi read-depth profiles for Geumsun and TYP. Arrows mark the </w:t>
      </w:r>
      <w:r w:rsidR="00464E43">
        <w:rPr>
          <w:rFonts w:ascii="Times New Roman" w:hAnsi="Times New Roman" w:cs="Times New Roman"/>
        </w:rPr>
        <w:t>chromosomes</w:t>
      </w:r>
      <w:r w:rsidR="00464E43" w:rsidRPr="006F111D">
        <w:rPr>
          <w:rFonts w:ascii="Times New Roman" w:hAnsi="Times New Roman" w:cs="Times New Roman"/>
        </w:rPr>
        <w:t xml:space="preserve"> that correspond to the colored blocks in panel a</w:t>
      </w:r>
      <w:r w:rsidR="00464E43" w:rsidRPr="00151640">
        <w:rPr>
          <w:rFonts w:ascii="Times New Roman" w:hAnsi="Times New Roman" w:cs="Times New Roman"/>
        </w:rPr>
        <w:t>, showing the same loci with abnormal copy-number signatures, including localized trisomic (~1.5×) and monosomic (~0.5×) coverage shifts relative to the diploid baseline.</w:t>
      </w:r>
      <w:r w:rsidR="00464E43">
        <w:rPr>
          <w:rFonts w:ascii="Times New Roman" w:hAnsi="Times New Roman" w:cs="Times New Roman"/>
        </w:rPr>
        <w:t xml:space="preserve"> </w:t>
      </w:r>
      <w:r w:rsidR="00464E43" w:rsidRPr="00151640">
        <w:rPr>
          <w:rFonts w:ascii="Times New Roman" w:hAnsi="Times New Roman" w:cs="Times New Roman"/>
        </w:rPr>
        <w:lastRenderedPageBreak/>
        <w:t>The monosomic coverage observed for chromosomes 14, 21, and 23 indicates a total chromosome count of 2n = 45 in TYP.</w:t>
      </w:r>
      <w:r w:rsidR="00456CE9">
        <w:rPr>
          <w:rFonts w:ascii="Times New Roman" w:hAnsi="Times New Roman" w:cs="Times New Roman"/>
        </w:rPr>
        <w:br w:type="page"/>
      </w:r>
    </w:p>
    <w:p w14:paraId="37F4AC45" w14:textId="77777777" w:rsidR="00456CE9" w:rsidRDefault="00456CE9" w:rsidP="00456CE9">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485D62C4" wp14:editId="75BBCF4E">
            <wp:extent cx="5943600" cy="5355590"/>
            <wp:effectExtent l="0" t="0" r="0" b="3810"/>
            <wp:docPr id="802488743" name="Picture 2" descr="A diagram of a cell divi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88743" name="Picture 2" descr="A diagram of a cell divisio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355590"/>
                    </a:xfrm>
                    <a:prstGeom prst="rect">
                      <a:avLst/>
                    </a:prstGeom>
                  </pic:spPr>
                </pic:pic>
              </a:graphicData>
            </a:graphic>
          </wp:inline>
        </w:drawing>
      </w:r>
    </w:p>
    <w:p w14:paraId="2955FAC2" w14:textId="01B38787" w:rsidR="00464E43" w:rsidRDefault="00456CE9" w:rsidP="00456CE9">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Pr>
          <w:rFonts w:ascii="Times New Roman" w:hAnsi="Times New Roman" w:cs="Times New Roman" w:hint="eastAsia"/>
          <w:b/>
          <w:bCs/>
        </w:rPr>
        <w:t>4</w:t>
      </w:r>
      <w:r>
        <w:rPr>
          <w:rFonts w:ascii="Times New Roman" w:hAnsi="Times New Roman" w:cs="Times New Roman"/>
          <w:b/>
          <w:bCs/>
        </w:rPr>
        <w:t xml:space="preserve">. </w:t>
      </w:r>
      <w:r>
        <w:rPr>
          <w:rFonts w:ascii="Times New Roman" w:hAnsi="Times New Roman" w:cs="Times New Roman"/>
        </w:rPr>
        <w:t xml:space="preserve">Chromosomal rearrangements in the TYP accession. </w:t>
      </w:r>
      <w:r>
        <w:rPr>
          <w:rFonts w:ascii="Times New Roman" w:hAnsi="Times New Roman" w:cs="Times New Roman"/>
          <w:b/>
          <w:bCs/>
        </w:rPr>
        <w:t>a,</w:t>
      </w:r>
      <w:r>
        <w:rPr>
          <w:rFonts w:ascii="Times New Roman" w:hAnsi="Times New Roman" w:cs="Times New Roman"/>
        </w:rPr>
        <w:t xml:space="preserve"> Inferred chromosomal structure of the TYP genome based on integrated Hi-C interaction data and HiFi read-depth profiles. Abnormal inter-chromosomal Hi-C contact patterns and corresponding coverage changes were used to infer complex structural rearrangements, including partial monosomy and reciprocal translocations. The schematic illustrates the proposed chromosomal configurations underlying these signals. </w:t>
      </w:r>
      <w:r>
        <w:rPr>
          <w:rFonts w:ascii="Times New Roman" w:hAnsi="Times New Roman" w:cs="Times New Roman"/>
          <w:b/>
          <w:bCs/>
        </w:rPr>
        <w:t>b,</w:t>
      </w:r>
      <w:r>
        <w:rPr>
          <w:rFonts w:ascii="Times New Roman" w:hAnsi="Times New Roman" w:cs="Times New Roman"/>
        </w:rPr>
        <w:t xml:space="preserve"> Chromosome number variation in long-term tissue-cultured TYP adventitious roots. Cytological analysis of adventitious-root subcultures revealed multiple aneuploid karyotypes. Representative metaphase spreads show cells with chromosome counts of 2n = 44, 2n = 45, and 2n = 46, each derived from independent subcultures originating from the same parental line.</w:t>
      </w:r>
      <w:r w:rsidR="00464E43">
        <w:rPr>
          <w:rFonts w:ascii="Times New Roman" w:hAnsi="Times New Roman" w:cs="Times New Roman"/>
        </w:rPr>
        <w:br w:type="page"/>
      </w:r>
    </w:p>
    <w:p w14:paraId="6281B7F2" w14:textId="77777777" w:rsidR="00464E43" w:rsidRDefault="00464E43" w:rsidP="00464E4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11C18636" wp14:editId="4846750C">
            <wp:extent cx="5943600" cy="1851025"/>
            <wp:effectExtent l="0" t="0" r="0" b="0"/>
            <wp:docPr id="1035" name="shape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1851025"/>
                    </a:xfrm>
                    <a:prstGeom prst="rect">
                      <a:avLst/>
                    </a:prstGeom>
                  </pic:spPr>
                </pic:pic>
              </a:graphicData>
            </a:graphic>
          </wp:inline>
        </w:drawing>
      </w:r>
    </w:p>
    <w:p w14:paraId="257AA618" w14:textId="1E703A57" w:rsidR="00464E43" w:rsidRDefault="004F0B70" w:rsidP="00464E43">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56CE9">
        <w:rPr>
          <w:rFonts w:ascii="Times New Roman" w:hAnsi="Times New Roman" w:cs="Times New Roman" w:hint="eastAsia"/>
          <w:b/>
          <w:bCs/>
        </w:rPr>
        <w:t>5</w:t>
      </w:r>
      <w:r w:rsidR="00464E43">
        <w:rPr>
          <w:rFonts w:ascii="Times New Roman" w:hAnsi="Times New Roman" w:cs="Times New Roman"/>
          <w:b/>
          <w:bCs/>
        </w:rPr>
        <w:t xml:space="preserve">. </w:t>
      </w:r>
      <w:r w:rsidR="00464E43">
        <w:rPr>
          <w:rFonts w:ascii="Times New Roman" w:hAnsi="Times New Roman" w:cs="Times New Roman"/>
        </w:rPr>
        <w:t xml:space="preserve">Sequence variation in </w:t>
      </w:r>
      <w:r w:rsidR="00464E43">
        <w:rPr>
          <w:rFonts w:ascii="Times New Roman" w:hAnsi="Times New Roman" w:cs="Times New Roman"/>
          <w:i/>
          <w:iCs/>
        </w:rPr>
        <w:t>DFR</w:t>
      </w:r>
      <w:r w:rsidR="00464E43">
        <w:rPr>
          <w:rFonts w:ascii="Times New Roman" w:hAnsi="Times New Roman" w:cs="Times New Roman"/>
        </w:rPr>
        <w:t xml:space="preserve"> paralogs. Multiple sequence alignment of </w:t>
      </w:r>
      <w:r w:rsidR="00464E43">
        <w:rPr>
          <w:rFonts w:ascii="Times New Roman" w:hAnsi="Times New Roman" w:cs="Times New Roman"/>
          <w:i/>
          <w:iCs/>
        </w:rPr>
        <w:t>DFR</w:t>
      </w:r>
      <w:r w:rsidR="00464E43">
        <w:rPr>
          <w:rFonts w:ascii="Times New Roman" w:hAnsi="Times New Roman" w:cs="Times New Roman"/>
        </w:rPr>
        <w:t xml:space="preserve"> paralogs from red- (GS) and yellow-berry (GP) ginseng accessions. A SNP in chromosome 13 </w:t>
      </w:r>
      <w:r w:rsidR="00464E43">
        <w:rPr>
          <w:rFonts w:ascii="Times New Roman" w:hAnsi="Times New Roman" w:cs="Times New Roman"/>
          <w:i/>
          <w:iCs/>
        </w:rPr>
        <w:t>DFR</w:t>
      </w:r>
      <w:r w:rsidR="00464E43">
        <w:rPr>
          <w:rFonts w:ascii="Times New Roman" w:hAnsi="Times New Roman" w:cs="Times New Roman"/>
        </w:rPr>
        <w:t xml:space="preserve"> introduces a missense mutation (Gly17Arg) specific to the yellow-berry genotype (GP). Additionally, a one–base pair insertion (InDel) in the chromosome 1 </w:t>
      </w:r>
      <w:r w:rsidR="00464E43">
        <w:rPr>
          <w:rFonts w:ascii="Times New Roman" w:hAnsi="Times New Roman" w:cs="Times New Roman"/>
          <w:i/>
          <w:iCs/>
        </w:rPr>
        <w:t>DFR</w:t>
      </w:r>
      <w:r w:rsidR="00464E43">
        <w:rPr>
          <w:rFonts w:ascii="Times New Roman" w:hAnsi="Times New Roman" w:cs="Times New Roman"/>
        </w:rPr>
        <w:t xml:space="preserve"> paralog, shared by both red and yellow accessions, results in a frameshift that renders this copy nonfunctional. </w:t>
      </w:r>
      <w:r w:rsidR="00464E43">
        <w:rPr>
          <w:rFonts w:ascii="Times New Roman" w:hAnsi="Times New Roman" w:cs="Times New Roman"/>
        </w:rPr>
        <w:br w:type="page"/>
      </w:r>
    </w:p>
    <w:p w14:paraId="6D429EC3" w14:textId="77777777" w:rsidR="00464E43" w:rsidRDefault="00464E43" w:rsidP="00464E43">
      <w:pPr>
        <w:spacing w:line="360" w:lineRule="auto"/>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52052660" wp14:editId="2A9E02A0">
            <wp:extent cx="5943600" cy="5172710"/>
            <wp:effectExtent l="0" t="0" r="0" b="0"/>
            <wp:docPr id="1036" name="shape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5172710"/>
                    </a:xfrm>
                    <a:prstGeom prst="rect">
                      <a:avLst/>
                    </a:prstGeom>
                  </pic:spPr>
                </pic:pic>
              </a:graphicData>
            </a:graphic>
          </wp:inline>
        </w:drawing>
      </w:r>
    </w:p>
    <w:p w14:paraId="2FD199F3" w14:textId="2CEE3D3F" w:rsidR="00464E43" w:rsidRDefault="004F0B70" w:rsidP="00464E43">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56CE9">
        <w:rPr>
          <w:rFonts w:ascii="Times New Roman" w:hAnsi="Times New Roman" w:cs="Times New Roman" w:hint="eastAsia"/>
          <w:b/>
          <w:bCs/>
        </w:rPr>
        <w:t>6</w:t>
      </w:r>
      <w:r w:rsidR="00464E43">
        <w:rPr>
          <w:rFonts w:ascii="Times New Roman" w:hAnsi="Times New Roman" w:cs="Times New Roman"/>
          <w:b/>
          <w:bCs/>
        </w:rPr>
        <w:t xml:space="preserve">. </w:t>
      </w:r>
      <w:r w:rsidR="00464E43">
        <w:rPr>
          <w:rFonts w:ascii="Times New Roman" w:hAnsi="Times New Roman" w:cs="Times New Roman"/>
        </w:rPr>
        <w:t xml:space="preserve">Evolutionary conservation and sequence variation of </w:t>
      </w:r>
      <w:r w:rsidR="00464E43">
        <w:rPr>
          <w:rFonts w:ascii="Times New Roman" w:hAnsi="Times New Roman" w:cs="Times New Roman"/>
          <w:i/>
          <w:iCs/>
        </w:rPr>
        <w:t>DFR</w:t>
      </w:r>
      <w:r w:rsidR="00464E43">
        <w:rPr>
          <w:rFonts w:ascii="Times New Roman" w:hAnsi="Times New Roman" w:cs="Times New Roman"/>
        </w:rPr>
        <w:t xml:space="preserve"> in ginseng. </w:t>
      </w:r>
      <w:r w:rsidR="00464E43">
        <w:rPr>
          <w:rFonts w:ascii="Times New Roman" w:hAnsi="Times New Roman" w:cs="Times New Roman"/>
          <w:b/>
          <w:bCs/>
        </w:rPr>
        <w:t>a,</w:t>
      </w:r>
      <w:r w:rsidR="00464E43">
        <w:rPr>
          <w:rFonts w:ascii="Times New Roman" w:hAnsi="Times New Roman" w:cs="Times New Roman"/>
        </w:rPr>
        <w:t xml:space="preserve"> Neighbour-joining phylogenetic tree of DFR proteins from ginseng and representative plant species. The tree was constructed using protein sequences retrieved from public databases (listed in b), with bootstrap support values (1,000 replicates) shown at each node. </w:t>
      </w:r>
      <w:r w:rsidR="00464E43">
        <w:rPr>
          <w:rFonts w:ascii="Times New Roman" w:hAnsi="Times New Roman" w:cs="Times New Roman"/>
          <w:b/>
          <w:bCs/>
        </w:rPr>
        <w:t>b,</w:t>
      </w:r>
      <w:r w:rsidR="00464E43">
        <w:rPr>
          <w:rFonts w:ascii="Times New Roman" w:hAnsi="Times New Roman" w:cs="Times New Roman"/>
        </w:rPr>
        <w:t xml:space="preserve"> List of plant species and database accession numbers for DFR orthologues. </w:t>
      </w:r>
      <w:r w:rsidR="00464E43">
        <w:rPr>
          <w:rFonts w:ascii="Times New Roman" w:hAnsi="Times New Roman" w:cs="Times New Roman"/>
          <w:b/>
          <w:bCs/>
        </w:rPr>
        <w:t>c,</w:t>
      </w:r>
      <w:r w:rsidR="00464E43">
        <w:rPr>
          <w:rFonts w:ascii="Times New Roman" w:hAnsi="Times New Roman" w:cs="Times New Roman"/>
        </w:rPr>
        <w:t xml:space="preserve"> Multiple sequence alignment of DFR proteins from ginseng (Geumsun and Gumpoong) and representative plant species. The SNP unique to the yellow-berry accession Gumpoong results in a Gly17Arg substitution within the conserved NADPH-binding domain (indicated by a black triangle). Conserved catalytic and substrate-binding motifs are annotated below the alignment, highlighting the functional context of the substitution.</w:t>
      </w:r>
      <w:r w:rsidR="00464E43">
        <w:rPr>
          <w:rFonts w:ascii="Times New Roman" w:hAnsi="Times New Roman" w:cs="Times New Roman"/>
        </w:rPr>
        <w:br w:type="page"/>
      </w:r>
    </w:p>
    <w:p w14:paraId="170BC38A" w14:textId="77777777" w:rsidR="00464E43" w:rsidRDefault="00464E43" w:rsidP="00464E43">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0AD76E20" wp14:editId="05A8655F">
            <wp:extent cx="5943600" cy="6092825"/>
            <wp:effectExtent l="0" t="0" r="0" b="0"/>
            <wp:docPr id="1037" name="shape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6092825"/>
                    </a:xfrm>
                    <a:prstGeom prst="rect">
                      <a:avLst/>
                    </a:prstGeom>
                  </pic:spPr>
                </pic:pic>
              </a:graphicData>
            </a:graphic>
          </wp:inline>
        </w:drawing>
      </w:r>
    </w:p>
    <w:p w14:paraId="39594AD1" w14:textId="26DB808A" w:rsidR="00464E43" w:rsidRDefault="004F0B70" w:rsidP="00464E43">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56CE9">
        <w:rPr>
          <w:rFonts w:ascii="Times New Roman" w:hAnsi="Times New Roman" w:cs="Times New Roman" w:hint="eastAsia"/>
          <w:b/>
          <w:bCs/>
        </w:rPr>
        <w:t>7</w:t>
      </w:r>
      <w:r w:rsidR="00464E43">
        <w:rPr>
          <w:rFonts w:ascii="Times New Roman" w:hAnsi="Times New Roman" w:cs="Times New Roman"/>
          <w:b/>
          <w:bCs/>
        </w:rPr>
        <w:t xml:space="preserve">. </w:t>
      </w:r>
      <w:r w:rsidR="00464E43">
        <w:rPr>
          <w:rFonts w:ascii="Times New Roman" w:hAnsi="Times New Roman" w:cs="Times New Roman"/>
        </w:rPr>
        <w:t xml:space="preserve">Development and validation of diagnostic markers for </w:t>
      </w:r>
      <w:r w:rsidR="00464E43">
        <w:rPr>
          <w:rFonts w:ascii="Times New Roman" w:hAnsi="Times New Roman" w:cs="Times New Roman"/>
          <w:i/>
          <w:iCs/>
        </w:rPr>
        <w:t>DFR</w:t>
      </w:r>
      <w:r w:rsidR="00464E43">
        <w:rPr>
          <w:rFonts w:ascii="Times New Roman" w:hAnsi="Times New Roman" w:cs="Times New Roman"/>
        </w:rPr>
        <w:t xml:space="preserve"> variants associated with berry colour in ginseng. </w:t>
      </w:r>
      <w:r w:rsidR="00464E43">
        <w:rPr>
          <w:rFonts w:ascii="Times New Roman" w:hAnsi="Times New Roman" w:cs="Times New Roman"/>
          <w:b/>
          <w:bCs/>
        </w:rPr>
        <w:t>a,</w:t>
      </w:r>
      <w:r w:rsidR="00464E43">
        <w:rPr>
          <w:rFonts w:ascii="Times New Roman" w:hAnsi="Times New Roman" w:cs="Times New Roman"/>
        </w:rPr>
        <w:t xml:space="preserve"> Design of SNP and InDel markers targeting the </w:t>
      </w:r>
      <w:r w:rsidR="00464E43">
        <w:rPr>
          <w:rFonts w:ascii="Times New Roman" w:hAnsi="Times New Roman" w:cs="Times New Roman"/>
          <w:i/>
          <w:iCs/>
        </w:rPr>
        <w:t>DFR</w:t>
      </w:r>
      <w:r w:rsidR="00464E43">
        <w:rPr>
          <w:rFonts w:ascii="Times New Roman" w:hAnsi="Times New Roman" w:cs="Times New Roman"/>
        </w:rPr>
        <w:t xml:space="preserve"> locus on chromosome 13. Primer positions are indicated schematically. </w:t>
      </w:r>
      <w:r w:rsidR="00464E43">
        <w:rPr>
          <w:rFonts w:ascii="Times New Roman" w:hAnsi="Times New Roman" w:cs="Times New Roman"/>
          <w:b/>
          <w:bCs/>
        </w:rPr>
        <w:t>b,</w:t>
      </w:r>
      <w:r w:rsidR="00464E43">
        <w:rPr>
          <w:rFonts w:ascii="Times New Roman" w:hAnsi="Times New Roman" w:cs="Times New Roman"/>
        </w:rPr>
        <w:t xml:space="preserve"> Validation of </w:t>
      </w:r>
      <w:r w:rsidR="00464E43">
        <w:rPr>
          <w:rFonts w:ascii="Times New Roman" w:hAnsi="Times New Roman" w:cs="Times New Roman"/>
          <w:i/>
          <w:iCs/>
        </w:rPr>
        <w:t>DFR</w:t>
      </w:r>
      <w:r w:rsidR="00464E43">
        <w:rPr>
          <w:rFonts w:ascii="Times New Roman" w:hAnsi="Times New Roman" w:cs="Times New Roman"/>
        </w:rPr>
        <w:t xml:space="preserve"> SNP and InDel markers across yellow-berry ginseng accessions. Genotyping of 20 yellow-berry accessions revealed that most carried the SNP-type allele with an intact </w:t>
      </w:r>
      <w:r w:rsidR="00464E43">
        <w:rPr>
          <w:rFonts w:ascii="Times New Roman" w:hAnsi="Times New Roman" w:cs="Times New Roman"/>
          <w:i/>
          <w:iCs/>
        </w:rPr>
        <w:t>DFR</w:t>
      </w:r>
      <w:r w:rsidR="00464E43">
        <w:rPr>
          <w:rFonts w:ascii="Times New Roman" w:hAnsi="Times New Roman" w:cs="Times New Roman"/>
        </w:rPr>
        <w:t xml:space="preserve"> structure, whereas a smaller subset showed deletion-type profiles. </w:t>
      </w:r>
      <w:r w:rsidR="00464E43">
        <w:rPr>
          <w:rFonts w:ascii="Times New Roman" w:hAnsi="Times New Roman" w:cs="Times New Roman"/>
        </w:rPr>
        <w:br w:type="page"/>
      </w:r>
    </w:p>
    <w:p w14:paraId="31980AEB" w14:textId="27F3165C" w:rsidR="00464E43" w:rsidRDefault="00642B3C" w:rsidP="00464E43">
      <w:pPr>
        <w:spacing w:line="360" w:lineRule="auto"/>
        <w:jc w:val="both"/>
        <w:rPr>
          <w:rFonts w:ascii="Times New Roman" w:hAnsi="Times New Roman" w:cs="Times New Roman"/>
          <w:b/>
          <w:bCs/>
        </w:rPr>
      </w:pPr>
      <w:r>
        <w:rPr>
          <w:rFonts w:ascii="Times New Roman" w:hAnsi="Times New Roman" w:cs="Times New Roman"/>
          <w:b/>
          <w:bCs/>
          <w:noProof/>
        </w:rPr>
        <w:lastRenderedPageBreak/>
        <w:drawing>
          <wp:inline distT="0" distB="0" distL="0" distR="0" wp14:anchorId="33AD8623" wp14:editId="41E721FE">
            <wp:extent cx="4649821" cy="1463501"/>
            <wp:effectExtent l="0" t="0" r="0" b="0"/>
            <wp:docPr id="1077961113" name="Picture 1" descr="A group of green roun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961113" name="Picture 1" descr="A group of green round object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8762" cy="1485200"/>
                    </a:xfrm>
                    <a:prstGeom prst="rect">
                      <a:avLst/>
                    </a:prstGeom>
                  </pic:spPr>
                </pic:pic>
              </a:graphicData>
            </a:graphic>
          </wp:inline>
        </w:drawing>
      </w:r>
    </w:p>
    <w:p w14:paraId="3A09C7B3" w14:textId="411217F6" w:rsidR="00ED0C6C" w:rsidRPr="00464E43" w:rsidRDefault="004F0B70" w:rsidP="00464E43">
      <w:pPr>
        <w:spacing w:line="360" w:lineRule="auto"/>
        <w:jc w:val="both"/>
        <w:rPr>
          <w:rFonts w:ascii="Times New Roman" w:hAnsi="Times New Roman" w:cs="Times New Roman"/>
        </w:rPr>
      </w:pPr>
      <w:r>
        <w:rPr>
          <w:rFonts w:ascii="Times New Roman" w:hAnsi="Times New Roman" w:cs="Times New Roman"/>
          <w:b/>
          <w:bCs/>
        </w:rPr>
        <w:t>Fig</w:t>
      </w:r>
      <w:r w:rsidR="00DD0796">
        <w:rPr>
          <w:rFonts w:ascii="Times New Roman" w:hAnsi="Times New Roman" w:cs="Times New Roman"/>
          <w:b/>
          <w:bCs/>
        </w:rPr>
        <w:t>.</w:t>
      </w:r>
      <w:r>
        <w:rPr>
          <w:rFonts w:ascii="Times New Roman" w:hAnsi="Times New Roman" w:cs="Times New Roman"/>
          <w:b/>
          <w:bCs/>
        </w:rPr>
        <w:t xml:space="preserve"> S</w:t>
      </w:r>
      <w:r w:rsidR="00456CE9">
        <w:rPr>
          <w:rFonts w:ascii="Times New Roman" w:hAnsi="Times New Roman" w:cs="Times New Roman" w:hint="eastAsia"/>
          <w:b/>
          <w:bCs/>
        </w:rPr>
        <w:t>8</w:t>
      </w:r>
      <w:r w:rsidR="00464E43">
        <w:rPr>
          <w:rFonts w:ascii="Times New Roman" w:hAnsi="Times New Roman" w:cs="Times New Roman"/>
          <w:b/>
          <w:bCs/>
        </w:rPr>
        <w:t xml:space="preserve">. </w:t>
      </w:r>
      <w:r w:rsidR="00642B3C" w:rsidRPr="00A92E7D">
        <w:rPr>
          <w:rFonts w:ascii="Times New Roman" w:hAnsi="Times New Roman" w:cs="Times New Roman"/>
        </w:rPr>
        <w:t>Conceptual</w:t>
      </w:r>
      <w:r w:rsidR="00642B3C">
        <w:rPr>
          <w:rFonts w:ascii="Times New Roman" w:hAnsi="Times New Roman" w:cs="Times New Roman"/>
        </w:rPr>
        <w:t xml:space="preserve"> model of </w:t>
      </w:r>
      <w:r w:rsidR="00642B3C">
        <w:rPr>
          <w:rFonts w:ascii="Times New Roman" w:hAnsi="Times New Roman" w:cs="Times New Roman"/>
          <w:i/>
          <w:iCs/>
        </w:rPr>
        <w:t>DFR</w:t>
      </w:r>
      <w:r w:rsidR="00642B3C">
        <w:rPr>
          <w:rFonts w:ascii="Times New Roman" w:hAnsi="Times New Roman" w:cs="Times New Roman"/>
        </w:rPr>
        <w:t xml:space="preserve">-dependent berry colour determination in </w:t>
      </w:r>
      <w:r w:rsidR="00642B3C">
        <w:rPr>
          <w:rFonts w:ascii="Times New Roman" w:hAnsi="Times New Roman" w:cs="Times New Roman"/>
          <w:i/>
          <w:iCs/>
        </w:rPr>
        <w:t>P. ginseng</w:t>
      </w:r>
      <w:r w:rsidR="00642B3C">
        <w:rPr>
          <w:rFonts w:ascii="Times New Roman" w:hAnsi="Times New Roman" w:cs="Times New Roman"/>
        </w:rPr>
        <w:t xml:space="preserve">.  </w:t>
      </w:r>
    </w:p>
    <w:sectPr w:rsidR="00ED0C6C" w:rsidRPr="00464E43">
      <w:pgSz w:w="12240" w:h="15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2swewvpbrz9enep9ddps5e2w25s9r9fxxze&quot;&gt;pangenome&lt;record-ids&gt;&lt;item&gt;1&lt;/item&gt;&lt;item&gt;2&lt;/item&gt;&lt;item&gt;4&lt;/item&gt;&lt;item&gt;5&lt;/item&gt;&lt;item&gt;6&lt;/item&gt;&lt;item&gt;7&lt;/item&gt;&lt;item&gt;8&lt;/item&gt;&lt;item&gt;9&lt;/item&gt;&lt;item&gt;10&lt;/item&gt;&lt;item&gt;11&lt;/item&gt;&lt;item&gt;12&lt;/item&gt;&lt;item&gt;13&lt;/item&gt;&lt;item&gt;14&lt;/item&gt;&lt;item&gt;16&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7&lt;/item&gt;&lt;item&gt;38&lt;/item&gt;&lt;item&gt;39&lt;/item&gt;&lt;item&gt;55&lt;/item&gt;&lt;item&gt;56&lt;/item&gt;&lt;item&gt;57&lt;/item&gt;&lt;item&gt;58&lt;/item&gt;&lt;item&gt;59&lt;/item&gt;&lt;item&gt;60&lt;/item&gt;&lt;item&gt;61&lt;/item&gt;&lt;item&gt;62&lt;/item&gt;&lt;item&gt;63&lt;/item&gt;&lt;item&gt;64&lt;/item&gt;&lt;item&gt;65&lt;/item&gt;&lt;item&gt;70&lt;/item&gt;&lt;item&gt;76&lt;/item&gt;&lt;item&gt;81&lt;/item&gt;&lt;item&gt;82&lt;/item&gt;&lt;item&gt;83&lt;/item&gt;&lt;item&gt;84&lt;/item&gt;&lt;item&gt;85&lt;/item&gt;&lt;item&gt;86&lt;/item&gt;&lt;item&gt;87&lt;/item&gt;&lt;item&gt;88&lt;/item&gt;&lt;item&gt;89&lt;/item&gt;&lt;item&gt;90&lt;/item&gt;&lt;item&gt;91&lt;/item&gt;&lt;item&gt;94&lt;/item&gt;&lt;item&gt;95&lt;/item&gt;&lt;item&gt;96&lt;/item&gt;&lt;item&gt;97&lt;/item&gt;&lt;item&gt;98&lt;/item&gt;&lt;/record-ids&gt;&lt;/item&gt;&lt;/Libraries&gt;"/>
  </w:docVars>
  <w:rsids>
    <w:rsidRoot w:val="00ED0C6C"/>
    <w:rsid w:val="000249D0"/>
    <w:rsid w:val="0005157F"/>
    <w:rsid w:val="000561D9"/>
    <w:rsid w:val="000803AB"/>
    <w:rsid w:val="00096694"/>
    <w:rsid w:val="0012621D"/>
    <w:rsid w:val="00143A9B"/>
    <w:rsid w:val="001560B5"/>
    <w:rsid w:val="00160B8A"/>
    <w:rsid w:val="001668DB"/>
    <w:rsid w:val="001745D4"/>
    <w:rsid w:val="0018147A"/>
    <w:rsid w:val="001C3490"/>
    <w:rsid w:val="001F21D2"/>
    <w:rsid w:val="001F4EEC"/>
    <w:rsid w:val="001F5ED6"/>
    <w:rsid w:val="001F7D67"/>
    <w:rsid w:val="00220A34"/>
    <w:rsid w:val="002401C9"/>
    <w:rsid w:val="00256E09"/>
    <w:rsid w:val="00264266"/>
    <w:rsid w:val="00265F2C"/>
    <w:rsid w:val="002A4BF4"/>
    <w:rsid w:val="002B518A"/>
    <w:rsid w:val="002F3A09"/>
    <w:rsid w:val="00317ED6"/>
    <w:rsid w:val="00322187"/>
    <w:rsid w:val="003332F4"/>
    <w:rsid w:val="003346B9"/>
    <w:rsid w:val="0035265D"/>
    <w:rsid w:val="00352F24"/>
    <w:rsid w:val="00397F8C"/>
    <w:rsid w:val="00456CE9"/>
    <w:rsid w:val="00464E43"/>
    <w:rsid w:val="004A1A4D"/>
    <w:rsid w:val="004C4932"/>
    <w:rsid w:val="004C609A"/>
    <w:rsid w:val="004D2B32"/>
    <w:rsid w:val="004D7DBD"/>
    <w:rsid w:val="004E2A4A"/>
    <w:rsid w:val="004F0B70"/>
    <w:rsid w:val="00505D3E"/>
    <w:rsid w:val="00526DAE"/>
    <w:rsid w:val="005327CE"/>
    <w:rsid w:val="00552A0A"/>
    <w:rsid w:val="005973DC"/>
    <w:rsid w:val="005A7153"/>
    <w:rsid w:val="005B249F"/>
    <w:rsid w:val="005B3212"/>
    <w:rsid w:val="005D502E"/>
    <w:rsid w:val="005F1B64"/>
    <w:rsid w:val="00614B87"/>
    <w:rsid w:val="00615469"/>
    <w:rsid w:val="00642B3C"/>
    <w:rsid w:val="00696217"/>
    <w:rsid w:val="006A4E32"/>
    <w:rsid w:val="006B2E62"/>
    <w:rsid w:val="006F6217"/>
    <w:rsid w:val="00720802"/>
    <w:rsid w:val="00722AA8"/>
    <w:rsid w:val="00722E23"/>
    <w:rsid w:val="00734D2D"/>
    <w:rsid w:val="00777D37"/>
    <w:rsid w:val="00784234"/>
    <w:rsid w:val="007A0A42"/>
    <w:rsid w:val="007B0440"/>
    <w:rsid w:val="007B4646"/>
    <w:rsid w:val="008122FD"/>
    <w:rsid w:val="008249E4"/>
    <w:rsid w:val="00825731"/>
    <w:rsid w:val="00837978"/>
    <w:rsid w:val="008442AE"/>
    <w:rsid w:val="008668B0"/>
    <w:rsid w:val="00883B63"/>
    <w:rsid w:val="00887858"/>
    <w:rsid w:val="0089391B"/>
    <w:rsid w:val="008B63E9"/>
    <w:rsid w:val="008B6B4D"/>
    <w:rsid w:val="008F23A7"/>
    <w:rsid w:val="009019B0"/>
    <w:rsid w:val="00942F6B"/>
    <w:rsid w:val="009655F0"/>
    <w:rsid w:val="009A2CEE"/>
    <w:rsid w:val="009A425E"/>
    <w:rsid w:val="009A6428"/>
    <w:rsid w:val="009B18DC"/>
    <w:rsid w:val="00A10995"/>
    <w:rsid w:val="00A16932"/>
    <w:rsid w:val="00A215E8"/>
    <w:rsid w:val="00A21D85"/>
    <w:rsid w:val="00A2215B"/>
    <w:rsid w:val="00A34C1A"/>
    <w:rsid w:val="00A475D4"/>
    <w:rsid w:val="00A66985"/>
    <w:rsid w:val="00A72191"/>
    <w:rsid w:val="00A93C61"/>
    <w:rsid w:val="00AA2244"/>
    <w:rsid w:val="00AA4248"/>
    <w:rsid w:val="00AC4A4A"/>
    <w:rsid w:val="00AD250C"/>
    <w:rsid w:val="00AD2815"/>
    <w:rsid w:val="00B040E5"/>
    <w:rsid w:val="00B10888"/>
    <w:rsid w:val="00B10A5C"/>
    <w:rsid w:val="00B3650B"/>
    <w:rsid w:val="00B87A47"/>
    <w:rsid w:val="00B96457"/>
    <w:rsid w:val="00BA2022"/>
    <w:rsid w:val="00C05700"/>
    <w:rsid w:val="00C16798"/>
    <w:rsid w:val="00C3487C"/>
    <w:rsid w:val="00C633C0"/>
    <w:rsid w:val="00C80108"/>
    <w:rsid w:val="00C8787F"/>
    <w:rsid w:val="00C945BF"/>
    <w:rsid w:val="00CB65D6"/>
    <w:rsid w:val="00CC1518"/>
    <w:rsid w:val="00CC30B6"/>
    <w:rsid w:val="00CD0E27"/>
    <w:rsid w:val="00CE2EF6"/>
    <w:rsid w:val="00D03DE9"/>
    <w:rsid w:val="00D104DE"/>
    <w:rsid w:val="00D25FFA"/>
    <w:rsid w:val="00D4601A"/>
    <w:rsid w:val="00D60A77"/>
    <w:rsid w:val="00D74CC3"/>
    <w:rsid w:val="00D86B0A"/>
    <w:rsid w:val="00DB09BD"/>
    <w:rsid w:val="00DC0EEC"/>
    <w:rsid w:val="00DC7098"/>
    <w:rsid w:val="00DD0796"/>
    <w:rsid w:val="00DD306D"/>
    <w:rsid w:val="00DF2C57"/>
    <w:rsid w:val="00E010B6"/>
    <w:rsid w:val="00E07735"/>
    <w:rsid w:val="00E4243E"/>
    <w:rsid w:val="00E4418A"/>
    <w:rsid w:val="00E7422E"/>
    <w:rsid w:val="00E82C06"/>
    <w:rsid w:val="00E9713F"/>
    <w:rsid w:val="00EB098D"/>
    <w:rsid w:val="00EC271D"/>
    <w:rsid w:val="00EC2828"/>
    <w:rsid w:val="00EC2874"/>
    <w:rsid w:val="00ED0C6C"/>
    <w:rsid w:val="00EE11A1"/>
    <w:rsid w:val="00F03847"/>
    <w:rsid w:val="00F06D90"/>
    <w:rsid w:val="00F34F25"/>
    <w:rsid w:val="00F47DDB"/>
    <w:rsid w:val="00F64810"/>
    <w:rsid w:val="00F6494F"/>
    <w:rsid w:val="00F80771"/>
    <w:rsid w:val="00F90673"/>
    <w:rsid w:val="00FA0080"/>
    <w:rsid w:val="00FD3783"/>
    <w:rsid w:val="00FF4981"/>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37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7"/>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52"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65"/>
    <w:lsdException w:name="Plain Table 2" w:uiPriority="66"/>
    <w:lsdException w:name="Plain Table 3" w:uiPriority="67"/>
    <w:lsdException w:name="Plain Table 4" w:uiPriority="68"/>
    <w:lsdException w:name="Plain Table 5" w:uiPriority="69"/>
    <w:lsdException w:name="Grid Table Light" w:uiPriority="64"/>
    <w:lsdException w:name="Grid Table 1 Light" w:uiPriority="70"/>
    <w:lsdException w:name="Grid Table 2" w:uiPriority="71"/>
    <w:lsdException w:name="Grid Table 3" w:uiPriority="72"/>
    <w:lsdException w:name="Grid Table 4" w:uiPriority="73"/>
    <w:lsdException w:name="Grid Table 5 Dark" w:uiPriority="80"/>
    <w:lsdException w:name="Grid Table 6 Colorful" w:uiPriority="81"/>
    <w:lsdException w:name="Grid Table 7 Colorful" w:uiPriority="82"/>
    <w:lsdException w:name="Grid Table 1 Light Accent 1" w:uiPriority="70"/>
    <w:lsdException w:name="Grid Table 2 Accent 1" w:uiPriority="71"/>
    <w:lsdException w:name="Grid Table 3 Accent 1" w:uiPriority="72"/>
    <w:lsdException w:name="Grid Table 4 Accent 1" w:uiPriority="73"/>
    <w:lsdException w:name="Grid Table 5 Dark Accent 1" w:uiPriority="80"/>
    <w:lsdException w:name="Grid Table 6 Colorful Accent 1" w:uiPriority="81"/>
    <w:lsdException w:name="Grid Table 7 Colorful Accent 1" w:uiPriority="82"/>
    <w:lsdException w:name="Grid Table 1 Light Accent 2" w:uiPriority="70"/>
    <w:lsdException w:name="Grid Table 2 Accent 2" w:uiPriority="71"/>
    <w:lsdException w:name="Grid Table 3 Accent 2" w:uiPriority="72"/>
    <w:lsdException w:name="Grid Table 4 Accent 2" w:uiPriority="73"/>
    <w:lsdException w:name="Grid Table 5 Dark Accent 2" w:uiPriority="80"/>
    <w:lsdException w:name="Grid Table 6 Colorful Accent 2" w:uiPriority="81"/>
    <w:lsdException w:name="Grid Table 7 Colorful Accent 2" w:uiPriority="82"/>
    <w:lsdException w:name="Grid Table 1 Light Accent 3" w:uiPriority="70"/>
    <w:lsdException w:name="Grid Table 2 Accent 3" w:uiPriority="71"/>
    <w:lsdException w:name="Grid Table 3 Accent 3" w:uiPriority="72"/>
    <w:lsdException w:name="Grid Table 4 Accent 3" w:uiPriority="73"/>
    <w:lsdException w:name="Grid Table 5 Dark Accent 3" w:uiPriority="80"/>
    <w:lsdException w:name="Grid Table 6 Colorful Accent 3" w:uiPriority="81"/>
    <w:lsdException w:name="Grid Table 7 Colorful Accent 3" w:uiPriority="82"/>
    <w:lsdException w:name="Grid Table 1 Light Accent 4" w:uiPriority="70"/>
    <w:lsdException w:name="Grid Table 2 Accent 4" w:uiPriority="71"/>
    <w:lsdException w:name="Grid Table 3 Accent 4" w:uiPriority="72"/>
    <w:lsdException w:name="Grid Table 4 Accent 4" w:uiPriority="73"/>
    <w:lsdException w:name="Grid Table 5 Dark Accent 4" w:uiPriority="80"/>
    <w:lsdException w:name="Grid Table 6 Colorful Accent 4" w:uiPriority="81"/>
    <w:lsdException w:name="Grid Table 7 Colorful Accent 4" w:uiPriority="82"/>
    <w:lsdException w:name="Grid Table 1 Light Accent 5" w:uiPriority="70"/>
    <w:lsdException w:name="Grid Table 2 Accent 5" w:uiPriority="71"/>
    <w:lsdException w:name="Grid Table 3 Accent 5" w:uiPriority="72"/>
    <w:lsdException w:name="Grid Table 4 Accent 5" w:uiPriority="73"/>
    <w:lsdException w:name="Grid Table 5 Dark Accent 5" w:uiPriority="80"/>
    <w:lsdException w:name="Grid Table 6 Colorful Accent 5" w:uiPriority="81"/>
    <w:lsdException w:name="Grid Table 7 Colorful Accent 5" w:uiPriority="82"/>
    <w:lsdException w:name="Grid Table 1 Light Accent 6" w:uiPriority="70"/>
    <w:lsdException w:name="Grid Table 2 Accent 6" w:uiPriority="71"/>
    <w:lsdException w:name="Grid Table 3 Accent 6" w:uiPriority="72"/>
    <w:lsdException w:name="Grid Table 4 Accent 6" w:uiPriority="73"/>
    <w:lsdException w:name="Grid Table 5 Dark Accent 6" w:uiPriority="80"/>
    <w:lsdException w:name="Grid Table 6 Colorful Accent 6" w:uiPriority="81"/>
    <w:lsdException w:name="Grid Table 7 Colorful Accent 6" w:uiPriority="82"/>
    <w:lsdException w:name="List Table 1 Light" w:uiPriority="70"/>
    <w:lsdException w:name="List Table 2" w:uiPriority="71"/>
    <w:lsdException w:name="List Table 3" w:uiPriority="72"/>
    <w:lsdException w:name="List Table 4" w:uiPriority="73"/>
    <w:lsdException w:name="List Table 5 Dark" w:uiPriority="80"/>
    <w:lsdException w:name="List Table 6 Colorful" w:uiPriority="81"/>
    <w:lsdException w:name="List Table 7 Colorful" w:uiPriority="82"/>
    <w:lsdException w:name="List Table 1 Light Accent 1" w:uiPriority="70"/>
    <w:lsdException w:name="List Table 2 Accent 1" w:uiPriority="71"/>
    <w:lsdException w:name="List Table 3 Accent 1" w:uiPriority="72"/>
    <w:lsdException w:name="List Table 4 Accent 1" w:uiPriority="73"/>
    <w:lsdException w:name="List Table 5 Dark Accent 1" w:uiPriority="80"/>
    <w:lsdException w:name="List Table 6 Colorful Accent 1" w:uiPriority="81"/>
    <w:lsdException w:name="List Table 7 Colorful Accent 1" w:uiPriority="82"/>
    <w:lsdException w:name="List Table 1 Light Accent 2" w:uiPriority="70"/>
    <w:lsdException w:name="List Table 2 Accent 2" w:uiPriority="71"/>
    <w:lsdException w:name="List Table 3 Accent 2" w:uiPriority="72"/>
    <w:lsdException w:name="List Table 4 Accent 2" w:uiPriority="73"/>
    <w:lsdException w:name="List Table 5 Dark Accent 2" w:uiPriority="80"/>
    <w:lsdException w:name="List Table 6 Colorful Accent 2" w:uiPriority="81"/>
    <w:lsdException w:name="List Table 7 Colorful Accent 2" w:uiPriority="82"/>
    <w:lsdException w:name="List Table 1 Light Accent 3" w:uiPriority="70"/>
    <w:lsdException w:name="List Table 2 Accent 3" w:uiPriority="71"/>
    <w:lsdException w:name="List Table 3 Accent 3" w:uiPriority="72"/>
    <w:lsdException w:name="List Table 4 Accent 3" w:uiPriority="73"/>
    <w:lsdException w:name="List Table 5 Dark Accent 3" w:uiPriority="80"/>
    <w:lsdException w:name="List Table 6 Colorful Accent 3" w:uiPriority="81"/>
    <w:lsdException w:name="List Table 7 Colorful Accent 3" w:uiPriority="82"/>
    <w:lsdException w:name="List Table 1 Light Accent 4" w:uiPriority="70"/>
    <w:lsdException w:name="List Table 2 Accent 4" w:uiPriority="71"/>
    <w:lsdException w:name="List Table 3 Accent 4" w:uiPriority="72"/>
    <w:lsdException w:name="List Table 4 Accent 4" w:uiPriority="73"/>
    <w:lsdException w:name="List Table 5 Dark Accent 4" w:uiPriority="80"/>
    <w:lsdException w:name="List Table 6 Colorful Accent 4" w:uiPriority="81"/>
    <w:lsdException w:name="List Table 7 Colorful Accent 4" w:uiPriority="82"/>
    <w:lsdException w:name="List Table 1 Light Accent 5" w:uiPriority="70"/>
    <w:lsdException w:name="List Table 2 Accent 5" w:uiPriority="71"/>
    <w:lsdException w:name="List Table 3 Accent 5" w:uiPriority="72"/>
    <w:lsdException w:name="List Table 4 Accent 5" w:uiPriority="73"/>
    <w:lsdException w:name="List Table 5 Dark Accent 5" w:uiPriority="80"/>
    <w:lsdException w:name="List Table 6 Colorful Accent 5" w:uiPriority="81"/>
    <w:lsdException w:name="List Table 7 Colorful Accent 5" w:uiPriority="82"/>
    <w:lsdException w:name="List Table 1 Light Accent 6" w:uiPriority="70"/>
    <w:lsdException w:name="List Table 2 Accent 6" w:uiPriority="71"/>
    <w:lsdException w:name="List Table 3 Accent 6" w:uiPriority="72"/>
    <w:lsdException w:name="List Table 4 Accent 6" w:uiPriority="73"/>
    <w:lsdException w:name="List Table 5 Dark Accent 6" w:uiPriority="80"/>
    <w:lsdException w:name="List Table 6 Colorful Accent 6" w:uiPriority="81"/>
    <w:lsdException w:name="List Table 7 Colorful Accent 6" w:uiPriority="8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rPr>
  </w:style>
  <w:style w:type="character" w:customStyle="1" w:styleId="Heading5Char">
    <w:name w:val="Heading 5 Char"/>
    <w:basedOn w:val="DefaultParagraphFont"/>
    <w:link w:val="Heading5"/>
    <w:uiPriority w:val="9"/>
    <w:semiHidden/>
    <w:rPr>
      <w:rFonts w:eastAsiaTheme="majorEastAsia" w:cstheme="majorBidi"/>
      <w:color w:val="2F5496"/>
    </w:rPr>
  </w:style>
  <w:style w:type="character" w:customStyle="1" w:styleId="Heading6Char">
    <w:name w:val="Heading 6 Char"/>
    <w:basedOn w:val="DefaultParagraphFont"/>
    <w:link w:val="Heading6"/>
    <w:uiPriority w:val="9"/>
    <w:semiHidden/>
    <w:rPr>
      <w:rFonts w:eastAsiaTheme="majorEastAsia" w:cstheme="majorBidi"/>
      <w:i/>
      <w:iCs/>
      <w:color w:val="595959"/>
    </w:rPr>
  </w:style>
  <w:style w:type="character" w:customStyle="1" w:styleId="Heading7Char">
    <w:name w:val="Heading 7 Char"/>
    <w:basedOn w:val="DefaultParagraphFont"/>
    <w:link w:val="Heading7"/>
    <w:uiPriority w:val="9"/>
    <w:semiHidden/>
    <w:rPr>
      <w:rFonts w:eastAsiaTheme="majorEastAsia" w:cstheme="majorBidi"/>
      <w:color w:val="595959"/>
    </w:rPr>
  </w:style>
  <w:style w:type="character" w:customStyle="1" w:styleId="Heading8Char">
    <w:name w:val="Heading 8 Char"/>
    <w:basedOn w:val="DefaultParagraphFont"/>
    <w:link w:val="Heading8"/>
    <w:uiPriority w:val="9"/>
    <w:semiHidden/>
    <w:rPr>
      <w:rFonts w:eastAsiaTheme="majorEastAsia" w:cstheme="majorBidi"/>
      <w:i/>
      <w:iCs/>
      <w:color w:val="262626"/>
    </w:rPr>
  </w:style>
  <w:style w:type="character" w:customStyle="1" w:styleId="Heading9Char">
    <w:name w:val="Heading 9 Char"/>
    <w:basedOn w:val="DefaultParagraphFont"/>
    <w:link w:val="Heading9"/>
    <w:uiPriority w:val="9"/>
    <w:semiHidden/>
    <w:rPr>
      <w:rFonts w:eastAsiaTheme="majorEastAsia" w:cstheme="majorBidi"/>
      <w:color w:val="26262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ajorEastAsia" w:cstheme="majorBidi"/>
      <w:color w:val="595959"/>
      <w:spacing w:val="15"/>
      <w:sz w:val="28"/>
      <w:szCs w:val="28"/>
    </w:rPr>
  </w:style>
  <w:style w:type="character" w:customStyle="1" w:styleId="SubtitleChar">
    <w:name w:val="Subtitle Char"/>
    <w:basedOn w:val="DefaultParagraphFont"/>
    <w:link w:val="Subtitle"/>
    <w:uiPriority w:val="11"/>
    <w:rPr>
      <w:rFonts w:eastAsiaTheme="majorEastAsia" w:cstheme="majorBidi"/>
      <w:color w:val="595959"/>
      <w:spacing w:val="15"/>
      <w:sz w:val="28"/>
      <w:szCs w:val="28"/>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
    <w:uiPriority w:val="29"/>
    <w:rPr>
      <w:i/>
      <w:iCs/>
      <w:color w:val="3F3F3F"/>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2F5496"/>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rPr>
  </w:style>
  <w:style w:type="character" w:customStyle="1" w:styleId="IntenseQuoteChar">
    <w:name w:val="Intense Quote Char"/>
    <w:basedOn w:val="DefaultParagraphFont"/>
    <w:link w:val="IntenseQuote"/>
    <w:uiPriority w:val="30"/>
    <w:rPr>
      <w:i/>
      <w:iCs/>
      <w:color w:val="2F5496"/>
    </w:rPr>
  </w:style>
  <w:style w:type="character" w:styleId="IntenseReference">
    <w:name w:val="Intense Reference"/>
    <w:basedOn w:val="DefaultParagraphFont"/>
    <w:uiPriority w:val="32"/>
    <w:qFormat/>
    <w:rPr>
      <w:b/>
      <w:bCs/>
      <w:smallCaps/>
      <w:color w:val="2F5496"/>
      <w:spacing w:val="5"/>
    </w:rPr>
  </w:style>
  <w:style w:type="character" w:styleId="LineNumber">
    <w:name w:val="line number"/>
    <w:basedOn w:val="DefaultParagraphFont"/>
    <w:uiPriority w:val="99"/>
    <w:semiHidden/>
    <w:unhideWhenUsed/>
  </w:style>
  <w:style w:type="paragraph" w:customStyle="1" w:styleId="EndNoteBibliographyTitle">
    <w:name w:val="EndNote Bibliography Title"/>
    <w:basedOn w:val="Normal"/>
    <w:link w:val="EndNoteBibliographyTitleChar"/>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Pr>
      <w:rFonts w:ascii="Calibri" w:hAnsi="Calibri" w:cs="Calibri"/>
    </w:rPr>
  </w:style>
  <w:style w:type="paragraph" w:customStyle="1" w:styleId="EndNoteBibliography">
    <w:name w:val="EndNote Bibliography"/>
    <w:basedOn w:val="Normal"/>
    <w:link w:val="EndNoteBibliographyChar"/>
    <w:pPr>
      <w:spacing w:line="240" w:lineRule="auto"/>
    </w:pPr>
    <w:rPr>
      <w:rFonts w:ascii="Calibri" w:hAnsi="Calibri" w:cs="Calibri"/>
    </w:rPr>
  </w:style>
  <w:style w:type="character" w:customStyle="1" w:styleId="EndNoteBibliographyChar">
    <w:name w:val="EndNote Bibliography Char"/>
    <w:basedOn w:val="DefaultParagraphFont"/>
    <w:link w:val="EndNoteBibliography"/>
    <w:rPr>
      <w:rFonts w:ascii="Calibri" w:hAnsi="Calibri" w:cs="Calibri"/>
    </w:rPr>
  </w:style>
  <w:style w:type="character" w:styleId="Hyperlink">
    <w:name w:val="Hyperlink"/>
    <w:basedOn w:val="DefaultParagraphFont"/>
    <w:uiPriority w:val="99"/>
    <w:unhideWhenUsed/>
    <w:rPr>
      <w:color w:val="0563C1"/>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styleId="PlaceholderText">
    <w:name w:val="Placeholder Text"/>
    <w:basedOn w:val="DefaultParagraphFont"/>
    <w:uiPriority w:val="99"/>
    <w:semiHidden/>
    <w:rPr>
      <w:color w:val="666666"/>
    </w:rPr>
  </w:style>
  <w:style w:type="paragraph" w:styleId="BalloonText">
    <w:name w:val="Balloon Text"/>
    <w:basedOn w:val="Normal"/>
    <w:link w:val="BalloonTextChar"/>
    <w:uiPriority w:val="99"/>
    <w:unhideWhenUse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Pr>
      <w:rFonts w:asciiTheme="majorHAnsi" w:eastAsiaTheme="majorEastAsia" w:hAnsiTheme="majorHAnsi" w:cstheme="majorBidi"/>
      <w:sz w:val="18"/>
      <w:szCs w:val="18"/>
    </w:rPr>
  </w:style>
  <w:style w:type="paragraph" w:styleId="Revision">
    <w:name w:val="Revision"/>
    <w:hidden/>
    <w:uiPriority w:val="99"/>
    <w:semiHidden/>
    <w:rsid w:val="00C945BF"/>
    <w:pPr>
      <w:spacing w:after="0" w:line="240" w:lineRule="auto"/>
    </w:pPr>
  </w:style>
  <w:style w:type="character" w:styleId="UnresolvedMention">
    <w:name w:val="Unresolved Mention"/>
    <w:basedOn w:val="DefaultParagraphFont"/>
    <w:uiPriority w:val="99"/>
    <w:semiHidden/>
    <w:unhideWhenUsed/>
    <w:rsid w:val="000515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127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759</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2026-02-11T05:07:00Z</dcterms:created>
  <dcterms:modified xsi:type="dcterms:W3CDTF">2026-05-10T19:09:00Z</dcterms:modified>
  <cp:version>1200.0100.01</cp:version>
</cp:coreProperties>
</file>