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Supplementary material</w:t>
      </w:r>
    </w:p>
    <w:p>
      <w:r>
        <w:t>Development and temporal validation of an auditable EHR-based risk-ranking pipeline integrating Chinese admission notes and laboratory data for cardiac intensive care: a retrospective cohort study</w:t>
      </w:r>
    </w:p>
    <w:p>
      <w:r>
        <w:t>This supplementary file contains the rule-based text-feature dictionary, model feature groups, missingness of candidate predictors, extended baseline characteristics, and supplementary figure.</w:t>
      </w:r>
    </w:p>
    <w:p>
      <w:pPr/>
      <w:r>
        <w:rPr>
          <w:b/>
        </w:rPr>
        <w:t>Supplementary Table S1. Rule-based text-feature dictionary and quality-control considerations.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b/>
                <w:sz w:val="16"/>
              </w:rPr>
              <w:t>Concept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b/>
                <w:sz w:val="16"/>
              </w:rPr>
              <w:t>Example Chinese trigger terms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b/>
                <w:sz w:val="16"/>
              </w:rPr>
              <w:t>Quality-control/context considerations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b/>
                <w:sz w:val="16"/>
              </w:rPr>
              <w:t>Feature type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Chest pain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胸痛; 胸部疼痛; 心前区疼痛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Negation expressions such as 无胸痛/否认胸痛 were screened when present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Rule-based symptom flag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Chest tightness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胸闷; 胸部憋闷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Negation expressions such as 无胸闷/否认胸闷 were screened when present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Rule-based symptom flag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Dyspnea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气促; 呼吸困难; 憋喘; 喘憋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Negation expressions such as 无气促/无呼吸困难 were screened when present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Rule-based symptom flag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Palpitations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心悸; 心慌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Negation expressions were screened when present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Rule-based symptom flag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Syncope/blackout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晕厥; 黑矇; 意识丧失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Negation expressions were screened when present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Rule-based instability flag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Shock/hypotension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休克; 低血压; 血压下降; 四肢湿冷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Context-dependent feature; historical and current presentation may not always be separable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Rule-based instability flag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Transfer/referral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转入; 转诊; 外院; 急诊转入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Contextual feature reflecting referral pathway rather than necessarily deterioration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Contextual flag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Emergency CAG/PCI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急诊冠脉造影; 急诊CAG; 急诊PCI; 支架植入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Potential early-treatment information; interpreted as early CCU context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Contextual/procedural flag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Prior MI/CAD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心肌梗死史; 冠心病史; PCI史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Family history was excluded when explicitly documented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Comorbidity flag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Heart failure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心衰; 心功能不全; NYHA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Negated history was screened; residual false positives remain possible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Comorbidity/severity flag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Hypertension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高血压; 血压高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Negated history was screened when present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Comorbidity flag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Diabetes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糖尿病; 血糖升高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Transient stress hyperglycemia may not be fully separable from diabetes in all notes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Comorbidity flag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Renal dysfunction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肾功能不全; 慢性肾病; 肌酐升高; 尿毒症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Context-dependent feature; residual misclassification is possible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Comorbidity/severity flag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Cerebrovascular disease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脑梗死; 脑出血; 卒中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Family history was excluded when explicitly documented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Comorbidity flag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Symptom onset interval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小时; 天; 月; 年; 突发; 反复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Used as broad duration/context feature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Timing feature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Text length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Total characters in concatenated admission text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Quantitative descriptor of note length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Quantitative feature</w:t>
            </w:r>
          </w:p>
        </w:tc>
      </w:tr>
    </w:tbl>
    <w:p>
      <w:r>
        <w:t>The table summarizes the analytic rule dictionary used for transparent feature construction. Independent manual validation of each text-derived feature was not available in the current dataset and remains a limitation.</w:t>
      </w:r>
    </w:p>
    <w:p>
      <w:pPr/>
      <w:r>
        <w:rPr>
          <w:b/>
        </w:rPr>
        <w:t>Supplementary Table S2. Model layers and feature groups.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312"/>
            <w:vAlign w:val="center"/>
          </w:tcPr>
          <w:p>
            <w:r>
              <w:rPr>
                <w:rFonts w:ascii="Times New Roman" w:hAnsi="Times New Roman"/>
                <w:b/>
                <w:sz w:val="16"/>
              </w:rPr>
              <w:t>Model</w:t>
            </w:r>
          </w:p>
        </w:tc>
        <w:tc>
          <w:tcPr>
            <w:tcW w:type="dxa" w:w="3312"/>
            <w:vAlign w:val="center"/>
          </w:tcPr>
          <w:p>
            <w:r>
              <w:rPr>
                <w:rFonts w:ascii="Times New Roman" w:hAnsi="Times New Roman"/>
                <w:b/>
                <w:sz w:val="16"/>
              </w:rPr>
              <w:t>Feature groups</w:t>
            </w:r>
          </w:p>
        </w:tc>
        <w:tc>
          <w:tcPr>
            <w:tcW w:type="dxa" w:w="3312"/>
            <w:vAlign w:val="center"/>
          </w:tcPr>
          <w:p>
            <w:r>
              <w:rPr>
                <w:rFonts w:ascii="Times New Roman" w:hAnsi="Times New Roman"/>
                <w:b/>
                <w:sz w:val="16"/>
              </w:rPr>
              <w:t>Interpretation</w:t>
            </w:r>
          </w:p>
        </w:tc>
      </w:tr>
      <w:tr>
        <w:tc>
          <w:tcPr>
            <w:tcW w:type="dxa" w:w="3312"/>
            <w:vAlign w:val="center"/>
          </w:tcPr>
          <w:p>
            <w:r>
              <w:rPr>
                <w:rFonts w:ascii="Times New Roman" w:hAnsi="Times New Roman"/>
                <w:sz w:val="16"/>
              </w:rPr>
              <w:t>Clinical model</w:t>
            </w:r>
          </w:p>
        </w:tc>
        <w:tc>
          <w:tcPr>
            <w:tcW w:type="dxa" w:w="3312"/>
            <w:vAlign w:val="center"/>
          </w:tcPr>
          <w:p>
            <w:r>
              <w:rPr>
                <w:rFonts w:ascii="Times New Roman" w:hAnsi="Times New Roman"/>
                <w:sz w:val="16"/>
              </w:rPr>
              <w:t>Age, sex, admission route, diagnostic group, temperature, heart rate, systolic blood pressure, diastolic blood pressure</w:t>
            </w:r>
          </w:p>
        </w:tc>
        <w:tc>
          <w:tcPr>
            <w:tcW w:type="dxa" w:w="3312"/>
            <w:vAlign w:val="center"/>
          </w:tcPr>
          <w:p>
            <w:r>
              <w:rPr>
                <w:rFonts w:ascii="Times New Roman" w:hAnsi="Times New Roman"/>
                <w:sz w:val="16"/>
              </w:rPr>
              <w:t>8 feature groups before diagnostic one-hot expansion</w:t>
            </w:r>
          </w:p>
        </w:tc>
      </w:tr>
      <w:tr>
        <w:tc>
          <w:tcPr>
            <w:tcW w:type="dxa" w:w="3312"/>
            <w:vAlign w:val="center"/>
          </w:tcPr>
          <w:p>
            <w:r>
              <w:rPr>
                <w:rFonts w:ascii="Times New Roman" w:hAnsi="Times New Roman"/>
                <w:sz w:val="16"/>
              </w:rPr>
              <w:t>Clinical + laboratory model</w:t>
            </w:r>
          </w:p>
        </w:tc>
        <w:tc>
          <w:tcPr>
            <w:tcW w:type="dxa" w:w="3312"/>
            <w:vAlign w:val="center"/>
          </w:tcPr>
          <w:p>
            <w:r>
              <w:rPr>
                <w:rFonts w:ascii="Times New Roman" w:hAnsi="Times New Roman"/>
                <w:sz w:val="16"/>
              </w:rPr>
              <w:t>Clinical features plus hemoglobin, white blood cell count, platelet count, NLR, SII, BNP, hs-cTnI, hs-CRP, creatinine</w:t>
            </w:r>
          </w:p>
        </w:tc>
        <w:tc>
          <w:tcPr>
            <w:tcW w:type="dxa" w:w="3312"/>
            <w:vAlign w:val="center"/>
          </w:tcPr>
          <w:p>
            <w:r>
              <w:rPr>
                <w:rFonts w:ascii="Times New Roman" w:hAnsi="Times New Roman"/>
                <w:sz w:val="16"/>
              </w:rPr>
              <w:t>17 feature groups before diagnostic one-hot expansion</w:t>
            </w:r>
          </w:p>
        </w:tc>
      </w:tr>
      <w:tr>
        <w:tc>
          <w:tcPr>
            <w:tcW w:type="dxa" w:w="3312"/>
            <w:vAlign w:val="center"/>
          </w:tcPr>
          <w:p>
            <w:r>
              <w:rPr>
                <w:rFonts w:ascii="Times New Roman" w:hAnsi="Times New Roman"/>
                <w:sz w:val="16"/>
              </w:rPr>
              <w:t>Rule-based text-feature model</w:t>
            </w:r>
          </w:p>
        </w:tc>
        <w:tc>
          <w:tcPr>
            <w:tcW w:type="dxa" w:w="3312"/>
            <w:vAlign w:val="center"/>
          </w:tcPr>
          <w:p>
            <w:r>
              <w:rPr>
                <w:rFonts w:ascii="Times New Roman" w:hAnsi="Times New Roman"/>
                <w:sz w:val="16"/>
              </w:rPr>
              <w:t>Symptoms, instability, referral/procedural context, comorbidities, symptom duration, text length</w:t>
            </w:r>
          </w:p>
        </w:tc>
        <w:tc>
          <w:tcPr>
            <w:tcW w:type="dxa" w:w="3312"/>
            <w:vAlign w:val="center"/>
          </w:tcPr>
          <w:p>
            <w:r>
              <w:rPr>
                <w:rFonts w:ascii="Times New Roman" w:hAnsi="Times New Roman"/>
                <w:sz w:val="16"/>
              </w:rPr>
              <w:t>16 text feature groups</w:t>
            </w:r>
          </w:p>
        </w:tc>
      </w:tr>
      <w:tr>
        <w:tc>
          <w:tcPr>
            <w:tcW w:type="dxa" w:w="3312"/>
            <w:vAlign w:val="center"/>
          </w:tcPr>
          <w:p>
            <w:r>
              <w:rPr>
                <w:rFonts w:ascii="Times New Roman" w:hAnsi="Times New Roman"/>
                <w:sz w:val="16"/>
              </w:rPr>
              <w:t>Multimodal model</w:t>
            </w:r>
          </w:p>
        </w:tc>
        <w:tc>
          <w:tcPr>
            <w:tcW w:type="dxa" w:w="3312"/>
            <w:vAlign w:val="center"/>
          </w:tcPr>
          <w:p>
            <w:r>
              <w:rPr>
                <w:rFonts w:ascii="Times New Roman" w:hAnsi="Times New Roman"/>
                <w:sz w:val="16"/>
              </w:rPr>
              <w:t>Clinical + laboratory + rule-based text-derived features</w:t>
            </w:r>
          </w:p>
        </w:tc>
        <w:tc>
          <w:tcPr>
            <w:tcW w:type="dxa" w:w="3312"/>
            <w:vAlign w:val="center"/>
          </w:tcPr>
          <w:p>
            <w:r>
              <w:rPr>
                <w:rFonts w:ascii="Times New Roman" w:hAnsi="Times New Roman"/>
                <w:sz w:val="16"/>
              </w:rPr>
              <w:t>33 feature groups before diagnostic one-hot expansion</w:t>
            </w:r>
          </w:p>
        </w:tc>
      </w:tr>
      <w:tr>
        <w:tc>
          <w:tcPr>
            <w:tcW w:type="dxa" w:w="3312"/>
            <w:vAlign w:val="center"/>
          </w:tcPr>
          <w:p>
            <w:r>
              <w:rPr>
                <w:rFonts w:ascii="Times New Roman" w:hAnsi="Times New Roman"/>
                <w:sz w:val="16"/>
              </w:rPr>
              <w:t>Exploratory TF-IDF model</w:t>
            </w:r>
          </w:p>
        </w:tc>
        <w:tc>
          <w:tcPr>
            <w:tcW w:type="dxa" w:w="3312"/>
            <w:vAlign w:val="center"/>
          </w:tcPr>
          <w:p>
            <w:r>
              <w:rPr>
                <w:rFonts w:ascii="Times New Roman" w:hAnsi="Times New Roman"/>
                <w:sz w:val="16"/>
              </w:rPr>
              <w:t>Clinical + laboratory + sparse character-level TF-IDF features</w:t>
            </w:r>
          </w:p>
        </w:tc>
        <w:tc>
          <w:tcPr>
            <w:tcW w:type="dxa" w:w="3312"/>
            <w:vAlign w:val="center"/>
          </w:tcPr>
          <w:p>
            <w:r>
              <w:rPr>
                <w:rFonts w:ascii="Times New Roman" w:hAnsi="Times New Roman"/>
                <w:sz w:val="16"/>
              </w:rPr>
              <w:t>Supplementary comparison only</w:t>
            </w:r>
          </w:p>
        </w:tc>
      </w:tr>
    </w:tbl>
    <w:p>
      <w:pPr/>
      <w:r>
        <w:rPr>
          <w:b/>
        </w:rPr>
        <w:t>Supplementary Table S3. Missingness of candidate predictors.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b/>
                <w:sz w:val="16"/>
              </w:rPr>
              <w:t>Predictor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b/>
                <w:sz w:val="16"/>
              </w:rPr>
              <w:t>Non-missing, n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b/>
                <w:sz w:val="16"/>
              </w:rPr>
              <w:t>Missing, n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b/>
                <w:sz w:val="16"/>
              </w:rPr>
              <w:t>Missing, %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hs-cTnI (log-transformed)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1020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343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25.2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hs-CRP (log-transformed)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1060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303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22.2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Creatinine (log-transformed)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1080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283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20.8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BNP (log-transformed)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1099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264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19.4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Systemic immune-inflammation index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1176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187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13.7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Neutrophil-to-lymphocyte ratio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1176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187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13.7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Platelet count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1176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187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13.7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White blood cell count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1176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187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13.7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Hemoglobin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1176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187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13.7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Diastolic blood pressure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1338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25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1.8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Systolic blood pressure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1338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25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1.8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Temperature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1355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0.6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Heart rate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1358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0.4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Age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1363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0.0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Male sex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1363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0.0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Emergency admission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1363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0.0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Admission text length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1363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0.0</w:t>
            </w:r>
          </w:p>
        </w:tc>
      </w:tr>
      <w:tr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All rule-based text-derived feature flags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1363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type="dxa" w:w="2484"/>
            <w:vAlign w:val="center"/>
          </w:tcPr>
          <w:p>
            <w:r>
              <w:rPr>
                <w:rFonts w:ascii="Times New Roman" w:hAnsi="Times New Roman"/>
                <w:sz w:val="16"/>
              </w:rPr>
              <w:t>0.0</w:t>
            </w:r>
          </w:p>
        </w:tc>
      </w:tr>
    </w:tbl>
    <w:p>
      <w:r>
        <w:t>Missingness was handled by median or mode imputation inside the modeling pipeline; substantial laboratory missingness remains a limitation.</w:t>
      </w:r>
    </w:p>
    <w:p>
      <w:pPr/>
      <w:r>
        <w:rPr>
          <w:b/>
        </w:rPr>
        <w:t>Supplementary Table S4. Extended baseline characteristics and text-derived features.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b/>
                <w:sz w:val="16"/>
              </w:rPr>
              <w:t>Variable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b/>
                <w:sz w:val="16"/>
              </w:rPr>
              <w:t>Overall (N=1363)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b/>
                <w:sz w:val="16"/>
              </w:rPr>
              <w:t>No primary outcome (N=1248)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b/>
                <w:sz w:val="16"/>
              </w:rPr>
              <w:t>Primary outcome (N=115)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b/>
                <w:sz w:val="16"/>
              </w:rPr>
              <w:t>Missing, n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b/>
                <w:sz w:val="16"/>
              </w:rPr>
              <w:t>P value</w:t>
            </w:r>
          </w:p>
        </w:tc>
      </w:tr>
      <w:tr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White blood cell count, 10^9/L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7.80 [5.90, 10.80]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7.80 [5.90, 10.60]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9.20 [6.65, 13.45]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187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0.008</w:t>
            </w:r>
          </w:p>
        </w:tc>
      </w:tr>
      <w:tr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Platelet count, 10^9/L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175 [130, 222]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175 [131, 222]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171 [118, 204]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187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0.096</w:t>
            </w:r>
          </w:p>
        </w:tc>
      </w:tr>
      <w:tr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Text feature: chest pain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956 (70.1)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882 (70.7)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74 (64.3)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0.156</w:t>
            </w:r>
          </w:p>
        </w:tc>
      </w:tr>
      <w:tr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Text feature: chest tightness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978 (71.8)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900 (72.1)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78 (67.8)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0.328</w:t>
            </w:r>
          </w:p>
        </w:tc>
      </w:tr>
      <w:tr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Text feature: dyspnea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557 (40.9)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509 (40.8)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48 (41.7)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0.842</w:t>
            </w:r>
          </w:p>
        </w:tc>
      </w:tr>
      <w:tr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Text feature: palpitations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365 (26.8)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345 (27.6)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20 (17.4)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0.018</w:t>
            </w:r>
          </w:p>
        </w:tc>
      </w:tr>
      <w:tr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Text feature: syncope/blackout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432 (31.7)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402 (32.2)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30 (26.1)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0.177</w:t>
            </w:r>
          </w:p>
        </w:tc>
      </w:tr>
      <w:tr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Text feature: shock/hypotension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30 (2.2)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29 (2.3)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1 (0.9)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0.507</w:t>
            </w:r>
          </w:p>
        </w:tc>
      </w:tr>
      <w:tr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Text feature: transfer/referral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736 (54.0)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674 (54.0)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62 (53.9)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0.985</w:t>
            </w:r>
          </w:p>
        </w:tc>
      </w:tr>
      <w:tr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Text feature: emergency CAG/PCI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236 (17.3)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225 (18.0)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11 (9.6)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0.022</w:t>
            </w:r>
          </w:p>
        </w:tc>
      </w:tr>
      <w:tr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Text feature: heart failure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333 (24.4)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298 (23.9)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35 (30.4)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0.117</w:t>
            </w:r>
          </w:p>
        </w:tc>
      </w:tr>
      <w:tr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Text feature: hypertension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775 (56.9)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720 (57.7)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55 (47.8)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0.041</w:t>
            </w:r>
          </w:p>
        </w:tc>
      </w:tr>
      <w:tr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Text feature: diabetes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367 (26.9)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337 (27.0)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30 (26.1)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0.832</w:t>
            </w:r>
          </w:p>
        </w:tc>
      </w:tr>
      <w:tr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Text feature: stroke/cerebrovascular disease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184 (13.5)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164 (13.1)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20 (17.4)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0.202</w:t>
            </w:r>
          </w:p>
        </w:tc>
      </w:tr>
      <w:tr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Diagnostic group: STEMI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472 (34.6)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424 (34.0)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48 (41.7)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Descriptive</w:t>
            </w:r>
          </w:p>
        </w:tc>
      </w:tr>
      <w:tr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Diagnostic group: Other ACS/CAD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286 (21.0)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272 (21.8)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14 (12.2)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Descriptive</w:t>
            </w:r>
          </w:p>
        </w:tc>
      </w:tr>
      <w:tr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Diagnostic group: Heart failure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331 (24.3)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300 (24.0)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31 (27.0)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Descriptive</w:t>
            </w:r>
          </w:p>
        </w:tc>
      </w:tr>
      <w:tr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Diagnostic group: Arrhythmia/conduction disorder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63 (4.6)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56 (4.5)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7 (6.1)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Descriptive</w:t>
            </w:r>
          </w:p>
        </w:tc>
      </w:tr>
      <w:tr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Diagnostic group: Cardiogenic shock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16 (1.2)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13 (1.0)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3 (2.6)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Descriptive</w:t>
            </w:r>
          </w:p>
        </w:tc>
      </w:tr>
      <w:tr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Diagnostic group: Valvular heart disease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26 (1.9)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26 (2.1)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 (0.0)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Descriptive</w:t>
            </w:r>
          </w:p>
        </w:tc>
      </w:tr>
      <w:tr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Diagnostic group: Other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169 (12.4)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157 (12.6)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12 (10.4)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type="dxa" w:w="1656"/>
            <w:vAlign w:val="center"/>
          </w:tcPr>
          <w:p>
            <w:r>
              <w:rPr>
                <w:rFonts w:ascii="Times New Roman" w:hAnsi="Times New Roman"/>
                <w:sz w:val="16"/>
              </w:rPr>
              <w:t>Descriptive</w:t>
            </w:r>
          </w:p>
        </w:tc>
      </w:tr>
    </w:tbl>
    <w:p>
      <w:r>
        <w:t>Values are median [IQR] or n (%). Diagnostic group categories are shown descriptively because the administrative diagnosis field may partly reflect retrospective coding and was not treated as a strictly real-time admission variable.</w:t>
      </w:r>
    </w:p>
    <w:p>
      <w:pPr>
        <w:pStyle w:val="Heading1"/>
      </w:pPr>
      <w:r>
        <w:rPr>
          <w:rFonts w:ascii="Times New Roman" w:hAnsi="Times New Roman"/>
          <w:sz w:val="24"/>
        </w:rPr>
        <w:t>Supplementary Figure 1. Exploratory multivariable odds ratios.</w:t>
      </w:r>
    </w:p>
    <w:p>
      <w:r>
        <w:t>Associations are descriptive and should not be interpreted as causal effects.</w:t>
      </w:r>
    </w:p>
    <w:p>
      <w:r>
        <w:drawing>
          <wp:inline xmlns:a="http://schemas.openxmlformats.org/drawingml/2006/main" xmlns:pic="http://schemas.openxmlformats.org/drawingml/2006/picture">
            <wp:extent cx="5486400" cy="47026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_Figure_1_OR_forest_plot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262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