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7E1A" w14:textId="10899CFE" w:rsidR="00FF044E" w:rsidRPr="00FF044E" w:rsidRDefault="00FF044E" w:rsidP="00FF044E">
      <w:pPr>
        <w:keepNext/>
        <w:keepLines/>
        <w:widowControl/>
        <w:spacing w:before="240" w:after="120" w:line="360" w:lineRule="auto"/>
        <w:outlineLvl w:val="2"/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</w:pPr>
      <w:r w:rsidRPr="00FF044E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>Supplementary Figure S</w:t>
      </w:r>
      <w:r w:rsidR="001C2EE3">
        <w:rPr>
          <w:rFonts w:ascii="Calibri" w:eastAsia="MS Gothic" w:hAnsi="Calibri" w:cs="Times New Roman" w:hint="eastAsia"/>
          <w:b/>
          <w:bCs/>
          <w:color w:val="000000"/>
          <w:kern w:val="0"/>
          <w:sz w:val="24"/>
          <w:szCs w:val="22"/>
          <w14:ligatures w14:val="none"/>
        </w:rPr>
        <w:t>2</w:t>
      </w:r>
      <w:r w:rsidRPr="00FF044E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 xml:space="preserve">. </w:t>
      </w:r>
      <w:r w:rsidR="001C2EE3" w:rsidRPr="001C2EE3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>SHAP bar plots across four landmark windows</w:t>
      </w:r>
    </w:p>
    <w:p w14:paraId="1DDF02B5" w14:textId="0238EB82" w:rsidR="00FF044E" w:rsidRDefault="00FF044E" w:rsidP="00FF044E">
      <w:pPr>
        <w:widowControl/>
        <w:spacing w:after="120" w:line="360" w:lineRule="auto"/>
        <w:rPr>
          <w:rFonts w:ascii="Times New Roman" w:eastAsia="MS Mincho" w:hAnsi="Times New Roman" w:cs="Times New Roman"/>
          <w:kern w:val="0"/>
          <w:sz w:val="24"/>
          <w:szCs w:val="22"/>
          <w14:ligatures w14:val="none"/>
        </w:rPr>
      </w:pPr>
      <w:r>
        <w:rPr>
          <w:rFonts w:ascii="Times New Roman" w:eastAsia="MS Mincho" w:hAnsi="Times New Roman" w:cs="Times New Roman"/>
          <w:noProof/>
          <w:kern w:val="0"/>
          <w:sz w:val="24"/>
          <w:szCs w:val="22"/>
        </w:rPr>
        <w:drawing>
          <wp:inline distT="0" distB="0" distL="0" distR="0" wp14:anchorId="5CAF8E4D" wp14:editId="10A817EC">
            <wp:extent cx="4587365" cy="3705179"/>
            <wp:effectExtent l="0" t="0" r="0" b="3810"/>
            <wp:docPr id="1636893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93764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365" cy="370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E04F" w14:textId="7A65061A" w:rsidR="00FF044E" w:rsidRPr="00FF044E" w:rsidRDefault="00692CDC" w:rsidP="00692CDC">
      <w:r w:rsidRPr="00692CDC">
        <w:rPr>
          <w:rFonts w:ascii="Arial" w:eastAsia="MS Mincho" w:hAnsi="Arial" w:cs="Arial"/>
          <w:color w:val="808080" w:themeColor="background1" w:themeShade="80"/>
          <w:kern w:val="0"/>
          <w:sz w:val="20"/>
          <w:szCs w:val="20"/>
          <w:lang w:eastAsia="en-US"/>
          <w14:ligatures w14:val="none"/>
        </w:rPr>
        <w:t>Per-window mean |SHAP| bar plots for all LASSO-selected features. Four panels: a) 6h, b) 12h, c) 24h, d) 48h. Complements the heatmap display in Figure 3 by showing the complete feature importance ranking within each window.</w:t>
      </w:r>
    </w:p>
    <w:sectPr w:rsidR="00FF044E" w:rsidRPr="00FF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4E"/>
    <w:rsid w:val="001C2EE3"/>
    <w:rsid w:val="00286227"/>
    <w:rsid w:val="00692CDC"/>
    <w:rsid w:val="006C6C0E"/>
    <w:rsid w:val="00902E5B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1B767"/>
  <w15:chartTrackingRefBased/>
  <w15:docId w15:val="{119A77D6-BDBD-584D-B786-4CD5B143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4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4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4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4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4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4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4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4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4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0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马成鑫</dc:creator>
  <cp:keywords/>
  <dc:description/>
  <cp:lastModifiedBy>马成鑫</cp:lastModifiedBy>
  <cp:revision>4</cp:revision>
  <dcterms:created xsi:type="dcterms:W3CDTF">2026-05-10T07:36:00Z</dcterms:created>
  <dcterms:modified xsi:type="dcterms:W3CDTF">2026-05-12T11:40:00Z</dcterms:modified>
</cp:coreProperties>
</file>