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TRIPOD+AI Checklist</w:t>
      </w:r>
    </w:p>
    <w:p>
      <w:r>
        <w:rPr>
          <w:b/>
        </w:rPr>
        <w:t xml:space="preserve">Study title: </w:t>
      </w:r>
      <w:r>
        <w:t>Multi-Time-Window Landmark Modeling for Dynamic Mortality Prediction in Spontaneous Intracerebral Hemorrhage: A Machine Learning Study Using the MIMIC-IV Database</w:t>
      </w:r>
    </w:p>
    <w:p>
      <w:r>
        <w:rPr>
          <w:b/>
        </w:rPr>
        <w:t xml:space="preserve">Checklist source: </w:t>
      </w:r>
      <w:r>
        <w:t>Collins GS, et al. TRIPOD+AI statement: updated guidance for reporting clinical prediction models that use regression or machine learning methods. BMJ. 2024;385:e078378.</w:t>
      </w:r>
    </w:p>
    <w:p>
      <w:pPr>
        <w:spacing w:after="240"/>
      </w:pPr>
      <w:r>
        <w:rPr>
          <w:i/>
        </w:rPr>
        <w:t>All page numbers refer to the submitted manuscript (Full_Manuscript_final_260512.pdf).</w:t>
      </w:r>
    </w:p>
    <w:p>
      <w:pPr>
        <w:spacing w:before="360" w:after="120"/>
      </w:pPr>
      <w:r>
        <w:rPr>
          <w:b/>
          <w:sz w:val="26"/>
        </w:rPr>
        <w:t>Section A: Abstract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850"/>
          </w:tcPr>
          <w:p/>
        </w:tc>
        <w:tc>
          <w:tcPr>
            <w:tcW w:type="dxa" w:w="7370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Structured abstract: Background, Methods, Results, Conclusions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1–2</w:t>
            </w:r>
          </w:p>
        </w:tc>
      </w:tr>
    </w:tbl>
    <w:p>
      <w:pPr>
        <w:spacing w:before="360" w:after="120"/>
      </w:pPr>
      <w:r>
        <w:rPr>
          <w:b/>
          <w:sz w:val="26"/>
        </w:rPr>
        <w:t>Section B: Title and Introduction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850"/>
          </w:tcPr>
          <w:p/>
        </w:tc>
        <w:tc>
          <w:tcPr>
            <w:tcW w:type="dxa" w:w="7370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Title identifies the study as developing/evaluating a prediction model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Background: context, existing models, rationale for new model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3–5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Study objectives and intended use of the prediction model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</w:t>
            </w:r>
          </w:p>
        </w:tc>
      </w:tr>
    </w:tbl>
    <w:p>
      <w:pPr>
        <w:spacing w:before="360" w:after="120"/>
      </w:pPr>
      <w:r>
        <w:rPr>
          <w:b/>
          <w:sz w:val="26"/>
        </w:rPr>
        <w:t>Section C: Methods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850"/>
          </w:tcPr>
          <w:p/>
        </w:tc>
        <w:tc>
          <w:tcPr>
            <w:tcW w:type="dxa" w:w="7370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5a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Data source (MIMIC-IV v3.1, PhysioNet)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5b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Eligibility criteria, study design (retrospective cohort)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5–6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5c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Details of data collection (ICU admission records from chartevents, labevents, admissions/patients)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8–9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6a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How missing data were handled (MICE with Bayesian Ridge; structural vs temporal missingness distinction)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10–11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6b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How the data were split (5-fold stratified cross-validation for LASSO and model evaluation)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12, 14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Dates of data collection (2008–2019)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8a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Number of participants (n=2,298)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5–6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8b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Number of outcome events (in-hospital mortality 23.8%, 547/2,298 overall; 533 at 6h landmark)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5–6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8c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Characteristics of participants (Table 1: demographics, comorbidities, vital signs, GCS, laboratory values)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6–7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9a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Outcome definition (in-hospital mortality defined as death during index hospital admission)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5–6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9b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How outcome was defined and measured (ICD-9-CM code 431, ICD-10-CM codes I61.0-I61.9)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5–6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9c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Outcome blinding not applicable (retrospective EMR data)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–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10a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Candidate predictors and their categories (87 initial variables: demographics, comorbidities, vital signs, GCS components, laboratory values; reduced to 42 after pre-screening)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8–11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10b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How predictors were measured (MIMIC-IV structured tables: icu.chartevents for vitals/GCS, hosp.labevents for labs, ICD-coded records for comorbidities; summary stats per window: mean/min/max/first)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8–9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10c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Pre-processing (physiological range filtering at SQL level; Winsorization at 1st/99th percentile; SpO2 artifact exclusion &lt;50%)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9–10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10d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Predictors in final models (LASSO 1-SE selected: 13/22/20/22 features per window; 7 cross-window stable features identified via set intersection)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11–12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10e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Predictor time window (4 landmark windows: 6h, 12h, 24h, 48h after ICU admission; conditioning on survival to landmark)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5, 8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11a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Sample size (n=2,298 with 533–547 outcome events across windows; EPV &gt;10 satisfied)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5–6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11b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Sample size justification (DL exclusion due to n&lt;40k; grid search without nested CV aligned with ICH ML literature)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13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12a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Missing data described (Table S1: per-window missing rates; Table 1 footnotes; albumin excluded at 74.2% missing)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10, S1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12b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Structural vs temporal missingness distinction (structural=albumin/database-level absence; temporal=early-window pre-analytical gap for labs)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10–11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12c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Missing data method (Multiple Imputation by Chained Equations/MICE with Bayesian Ridge, scikit-learn IterativeImputer max_iter=10; mode imputation for categorical variables)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13a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Model development: XGBoost (primary), LightGBM (sensitivity), Random Forest (tree baseline), Logistic Regression (traditional baseline)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12–14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13b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Model type specification and hyperparameters (XGBoost/LightGBM: two-stage grid search optimizing AUROC; RF: n_estimators=200/max_depth=6; LR: L2 regularization C=1.0/lbfgs)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12–13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13c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Class imbalance handling (scale_pos_weight set to inverse class ratio n_neg/n_pos ≈3.2–3.9; class_weight='balanced' for RF/LR)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12–13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13d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Feature selection (Stage 1: evidence-based pre-screening 87→42 candidates; Stage 2: LASSO with 5-fold stratified CV + 1-SE rule; composite indices ePVS/GPR/PWR evaluated but eliminated)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11–12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14a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Internal validation (5-fold stratified cross-validation with out-of-fold predictions; no external validation performed)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14, 31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14b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Evaluation metrics (AUROC [primary], sensitivity, specificity, PPV, F1 score, accuracy, Brier score at Youden threshold)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14, 16–17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14c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Performance with confidence intervals (DeLong method + bootstrap 95% CI with 1,000 resamples for dual validation of uncertainty estimates)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14, 17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14d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Model comparison (Discrimination: Figure 1 + Table 2; Calibration: curves Figure 2 + quantitative Table 3 [intercept/slope]; Clinical utility: DCA Figure S4; Interpretability: SHAP bar/beeswarm Figures 3–4 + Table 4)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16–23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14e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Sensitivity analysis (LightGBM vs XGBoost: ΔAUROC ≤ 0.011 confirms robustness to GBM implementation choice)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15a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Any risk groups created? (No; continuous predicted probabilities reported; threshold discussion in Discussion section)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–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15b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Model complexity vs. parsimony (LASSO 1-SE rule selects most parsimonious model within 1 SE of minimum CV-MSE; avoids overfitting)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12</w:t>
            </w:r>
          </w:p>
        </w:tc>
      </w:tr>
    </w:tbl>
    <w:p>
      <w:pPr>
        <w:spacing w:before="360" w:after="120"/>
      </w:pPr>
      <w:r>
        <w:rPr>
          <w:b/>
          <w:sz w:val="26"/>
        </w:rPr>
        <w:t>Section D: Results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850"/>
          </w:tcPr>
          <w:p/>
        </w:tc>
        <w:tc>
          <w:tcPr>
            <w:tcW w:type="dxa" w:w="7370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16a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Flow of participants (ICD-based identification; first ICU admission included; 2,298 final cohort; landmark conditioning described in Methods; see Additional file 3: Figure S1 flow diagram)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5–6, Fig S1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16b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Characteristics and missing data (Table 1: 6h landmark cohort n=2,279; valid n and missing % columns for each variable)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6–7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16c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Comparison of included vs. excluded (landmark conditioning on survival explained; progressive denominator decline justified as correct clinical question definition)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8, 30–31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Model specification (Table 2: XGBoost full metrics; Table 3: calibration metrics all 4 models; hyperparameters detailed in Methods Section C)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16–19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Feature selection results (Window-specific feature counts: 6h=13, 12h=22, 24h=20, 48h=22; 32 unique LASSO-selected features total; composite indices eliminated)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19a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Discrimination (XGBoost AUROC: 0.856/0.872/0.864/0.857 at 6/12/24/48h; inverted-U trajectory peaking at 12h consistent across all 4 models; Figure 1 error bars)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16–17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19b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Calibration (Curves: Figure 2 decile plots; Quantitative: slopes 0.90–0.98, intercepts −0.81 to −1.07; modest overestimation noted; Table 3 full metrics)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17–19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19c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Clinical utility (DCA: positive net benefit across ~10–40% thresholds at all windows; above both default strategies; Additional file 6: Figure S4; Youden threshold discussion)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23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19d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SHAP feature importance (Table 4: mean |SHAP| heatmap 32 features × 4 windows; Figure 3: cross-window SHAP heatmap; Figure 4: temporal trajectory line plot; 7 cross-window stable features; neurological→metabolic shift)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19–22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20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Model interpretation and intended clinical use (Three-phase clinical interpretation: 6h insufficient, 12h optimal decision point, 24–48h shift to systemic complications; dynamic vs static framework advantages)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23–30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21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Comparison with existing models (Mao 2024: 0.907 with treatment variables/collider bias; Chen 2025: 0.797 with external validation; Ye 2026: 0.851 with biomarkers; Britsch 2025: recursive updating; our difference: multi-window + treatment exclusion)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24–26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22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Strengths (Multi-time-window landmark design; dual CI methodology [DeLong+Bootstrap]; quantitative calibration metrics; SHAP temporal evolution; collider bias awareness; clinical interpretability focus)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23–25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23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Limitations (No external validation; single-center BIDMC retrospective; no imaging features [hematoma volume/IVH/midline shift]; treatment variables excluded [causal inference planned]; DL not employed; grid search without nested CV)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31–32</w:t>
            </w:r>
          </w:p>
        </w:tc>
      </w:tr>
    </w:tbl>
    <w:p>
      <w:pPr>
        <w:spacing w:before="360" w:after="120"/>
      </w:pPr>
      <w:r>
        <w:rPr>
          <w:b/>
          <w:sz w:val="26"/>
        </w:rPr>
        <w:t>Section E: Supplementary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850"/>
          </w:tcPr>
          <w:p/>
        </w:tc>
        <w:tc>
          <w:tcPr>
            <w:tcW w:type="dxa" w:w="7370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24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Supplementary materials (Additional file 1: Table S1 [per-window missing]; Additional file 2: Table S2 [all model performance]; Additional file 3: Figure S1 [participant flow]; Additional files 4–7: Figures S2–S4 [SHAP plots/DCA])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Supplementary</w:t>
            </w:r>
          </w:p>
        </w:tc>
      </w:tr>
      <w:tr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25</w:t>
            </w:r>
          </w:p>
        </w:tc>
        <w:tc>
          <w:tcPr>
            <w:tcW w:type="dxa" w:w="3324"/>
          </w:tcPr>
          <w:p>
            <w:pPr>
              <w:spacing w:before="40" w:after="40"/>
            </w:pPr>
            <w:r>
              <w:rPr>
                <w:rFonts w:ascii="Arial" w:hAnsi="Arial"/>
                <w:sz w:val="18"/>
              </w:rPr>
              <w:t>Data availability statement (MIMIC-IV v3.1 publicly available via PhysioNet requiring CITI training + DUA; analysis code available upon acceptance; requests during review directed to corresponding author)</w:t>
            </w:r>
          </w:p>
        </w:tc>
        <w:tc>
          <w:tcPr>
            <w:tcW w:type="dxa" w:w="332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sz w:val="18"/>
              </w:rPr>
              <w:t>35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