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136A" w14:textId="77777777" w:rsidR="00FA4F6A" w:rsidRPr="0071373F" w:rsidRDefault="00FA4F6A" w:rsidP="00FA4F6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1373F">
        <w:rPr>
          <w:rFonts w:ascii="Arial" w:hAnsi="Arial" w:cs="Arial"/>
          <w:sz w:val="24"/>
          <w:szCs w:val="24"/>
        </w:rPr>
        <w:t>Supplementary Table S1: Integrated Convergence Analysis of Intern and Faculty Needs Assessment Findings Informing Interprofessional Trauma Module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202"/>
        <w:gridCol w:w="2243"/>
        <w:gridCol w:w="2332"/>
      </w:tblGrid>
      <w:tr w:rsidR="00FA4F6A" w:rsidRPr="0071373F" w14:paraId="1C815876" w14:textId="77777777" w:rsidTr="00647EC2">
        <w:tc>
          <w:tcPr>
            <w:tcW w:w="0" w:type="auto"/>
            <w:hideMark/>
          </w:tcPr>
          <w:p w14:paraId="2AB39BDB" w14:textId="77777777" w:rsidR="00FA4F6A" w:rsidRPr="0071373F" w:rsidRDefault="00FA4F6A" w:rsidP="00647EC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Domain</w:t>
            </w:r>
          </w:p>
        </w:tc>
        <w:tc>
          <w:tcPr>
            <w:tcW w:w="0" w:type="auto"/>
            <w:hideMark/>
          </w:tcPr>
          <w:p w14:paraId="476EEBF0" w14:textId="77777777" w:rsidR="00FA4F6A" w:rsidRPr="0071373F" w:rsidRDefault="00FA4F6A" w:rsidP="00647EC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Intern findings (n = 289)</w:t>
            </w:r>
          </w:p>
        </w:tc>
        <w:tc>
          <w:tcPr>
            <w:tcW w:w="0" w:type="auto"/>
            <w:hideMark/>
          </w:tcPr>
          <w:p w14:paraId="055E25B1" w14:textId="77777777" w:rsidR="00FA4F6A" w:rsidRPr="0071373F" w:rsidRDefault="00FA4F6A" w:rsidP="00647EC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Faculty findings (n = 96)</w:t>
            </w:r>
          </w:p>
        </w:tc>
        <w:tc>
          <w:tcPr>
            <w:tcW w:w="0" w:type="auto"/>
            <w:hideMark/>
          </w:tcPr>
          <w:p w14:paraId="07D8A011" w14:textId="77777777" w:rsidR="00FA4F6A" w:rsidRPr="0071373F" w:rsidRDefault="00FA4F6A" w:rsidP="00647EC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Convergent interpretation</w:t>
            </w:r>
          </w:p>
        </w:tc>
      </w:tr>
      <w:tr w:rsidR="00FA4F6A" w:rsidRPr="0071373F" w14:paraId="07891B0F" w14:textId="77777777" w:rsidTr="00647EC2">
        <w:tc>
          <w:tcPr>
            <w:tcW w:w="0" w:type="auto"/>
            <w:hideMark/>
          </w:tcPr>
          <w:p w14:paraId="292B67C2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Trauma exposure &amp; preparedness</w:t>
            </w:r>
          </w:p>
        </w:tc>
        <w:tc>
          <w:tcPr>
            <w:tcW w:w="0" w:type="auto"/>
            <w:hideMark/>
          </w:tcPr>
          <w:p w14:paraId="01383C7F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Wide variation in exposure; 24.9% involved in ≤5 trauma cases; only 8.7% very confident in trauma resuscitation</w:t>
            </w:r>
          </w:p>
        </w:tc>
        <w:tc>
          <w:tcPr>
            <w:tcW w:w="0" w:type="auto"/>
            <w:hideMark/>
          </w:tcPr>
          <w:p w14:paraId="65757E65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Only 8.3% rated interns as completely prepared: 37.5% perceived interns as somewhat or completely unprepared</w:t>
            </w:r>
          </w:p>
        </w:tc>
        <w:tc>
          <w:tcPr>
            <w:tcW w:w="0" w:type="auto"/>
            <w:hideMark/>
          </w:tcPr>
          <w:p w14:paraId="677ED39D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Intern readiness for trauma resuscitation is inconsistent, indicating a need for structured training</w:t>
            </w:r>
          </w:p>
        </w:tc>
      </w:tr>
      <w:tr w:rsidR="00FA4F6A" w:rsidRPr="0071373F" w14:paraId="1983A76E" w14:textId="77777777" w:rsidTr="00647EC2">
        <w:tc>
          <w:tcPr>
            <w:tcW w:w="0" w:type="auto"/>
            <w:hideMark/>
          </w:tcPr>
          <w:p w14:paraId="31DFCCF1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Role in trauma resuscitation</w:t>
            </w:r>
          </w:p>
        </w:tc>
        <w:tc>
          <w:tcPr>
            <w:tcW w:w="0" w:type="auto"/>
            <w:hideMark/>
          </w:tcPr>
          <w:p w14:paraId="71C5FFC2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High procedural involvement (93.1%), but limited decision-making (24.6%) and leadership experience (11.4%)</w:t>
            </w:r>
          </w:p>
        </w:tc>
        <w:tc>
          <w:tcPr>
            <w:tcW w:w="0" w:type="auto"/>
            <w:hideMark/>
          </w:tcPr>
          <w:p w14:paraId="53F196E2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Role clarity rated as extremely important by 73.9% of faculty</w:t>
            </w:r>
          </w:p>
        </w:tc>
        <w:tc>
          <w:tcPr>
            <w:tcW w:w="0" w:type="auto"/>
            <w:hideMark/>
          </w:tcPr>
          <w:p w14:paraId="76363B08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Mismatch between participation and responsibility highlights need for explicit role allocation and leadership training</w:t>
            </w:r>
          </w:p>
        </w:tc>
      </w:tr>
      <w:tr w:rsidR="00FA4F6A" w:rsidRPr="0071373F" w14:paraId="13EBD606" w14:textId="77777777" w:rsidTr="00647EC2">
        <w:tc>
          <w:tcPr>
            <w:tcW w:w="0" w:type="auto"/>
            <w:hideMark/>
          </w:tcPr>
          <w:p w14:paraId="6ABAF4CF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Communication effectiveness</w:t>
            </w:r>
          </w:p>
        </w:tc>
        <w:tc>
          <w:tcPr>
            <w:tcW w:w="0" w:type="auto"/>
            <w:hideMark/>
          </w:tcPr>
          <w:p w14:paraId="214E9ED7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99.6% encountered communication </w:t>
            </w: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challenges at least sometimes; only 14.9% rated communication as very effective</w:t>
            </w:r>
          </w:p>
        </w:tc>
        <w:tc>
          <w:tcPr>
            <w:tcW w:w="0" w:type="auto"/>
            <w:hideMark/>
          </w:tcPr>
          <w:p w14:paraId="60305853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Communication is rated as extremely important by </w:t>
            </w: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73.9%; current collaboration is rated very effective by only 4.2%</w:t>
            </w:r>
          </w:p>
        </w:tc>
        <w:tc>
          <w:tcPr>
            <w:tcW w:w="0" w:type="auto"/>
            <w:hideMark/>
          </w:tcPr>
          <w:p w14:paraId="39B9472A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Communication gaps are common and recognized by </w:t>
            </w: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both groups as a critical training priority</w:t>
            </w:r>
          </w:p>
        </w:tc>
      </w:tr>
      <w:tr w:rsidR="00FA4F6A" w:rsidRPr="0071373F" w14:paraId="3216A4B5" w14:textId="77777777" w:rsidTr="00647EC2">
        <w:tc>
          <w:tcPr>
            <w:tcW w:w="0" w:type="auto"/>
            <w:hideMark/>
          </w:tcPr>
          <w:p w14:paraId="597E6DC2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lastRenderedPageBreak/>
              <w:t>Role clarity before resuscitation</w:t>
            </w:r>
          </w:p>
        </w:tc>
        <w:tc>
          <w:tcPr>
            <w:tcW w:w="0" w:type="auto"/>
            <w:hideMark/>
          </w:tcPr>
          <w:p w14:paraId="6245938D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Roles are always/often clear in only 28%; 99.7% supported additional training on role clarity</w:t>
            </w:r>
          </w:p>
        </w:tc>
        <w:tc>
          <w:tcPr>
            <w:tcW w:w="0" w:type="auto"/>
            <w:hideMark/>
          </w:tcPr>
          <w:p w14:paraId="223A6D87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Role clarity is identified as a key competency for structured training</w:t>
            </w:r>
          </w:p>
        </w:tc>
        <w:tc>
          <w:tcPr>
            <w:tcW w:w="0" w:type="auto"/>
            <w:hideMark/>
          </w:tcPr>
          <w:p w14:paraId="36889DB3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Strong agreement on need for role-explicit trauma team training</w:t>
            </w:r>
          </w:p>
        </w:tc>
      </w:tr>
      <w:tr w:rsidR="00FA4F6A" w:rsidRPr="0071373F" w14:paraId="215B81F5" w14:textId="77777777" w:rsidTr="00647EC2">
        <w:tc>
          <w:tcPr>
            <w:tcW w:w="0" w:type="auto"/>
            <w:hideMark/>
          </w:tcPr>
          <w:p w14:paraId="29B994F0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Interprofessional collaboration (IP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C</w:t>
            </w: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0" w:type="auto"/>
            <w:hideMark/>
          </w:tcPr>
          <w:p w14:paraId="4F938537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100% agreed IPE would enhance trauma team effectiveness (94.5% strongly agree)</w:t>
            </w:r>
          </w:p>
        </w:tc>
        <w:tc>
          <w:tcPr>
            <w:tcW w:w="0" w:type="auto"/>
            <w:hideMark/>
          </w:tcPr>
          <w:p w14:paraId="696A7A80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100% agreed structured IPE would improve teamwork and outcomes (85.4% strongly agree)</w:t>
            </w:r>
          </w:p>
        </w:tc>
        <w:tc>
          <w:tcPr>
            <w:tcW w:w="0" w:type="auto"/>
            <w:hideMark/>
          </w:tcPr>
          <w:p w14:paraId="34EA7371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Near-universal endorsement supports the feasibility and acceptability of interprofessional training</w:t>
            </w:r>
          </w:p>
        </w:tc>
      </w:tr>
      <w:tr w:rsidR="00FA4F6A" w:rsidRPr="0071373F" w14:paraId="1376FE7D" w14:textId="77777777" w:rsidTr="00647EC2">
        <w:tc>
          <w:tcPr>
            <w:tcW w:w="0" w:type="auto"/>
            <w:hideMark/>
          </w:tcPr>
          <w:p w14:paraId="4E95478E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Leadership &amp; teamwork </w:t>
            </w:r>
            <w:proofErr w:type="spellStart"/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behaviors</w:t>
            </w:r>
            <w:proofErr w:type="spellEnd"/>
          </w:p>
        </w:tc>
        <w:tc>
          <w:tcPr>
            <w:tcW w:w="0" w:type="auto"/>
            <w:hideMark/>
          </w:tcPr>
          <w:p w14:paraId="4FE6EB3A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Limited inclusion in decision-making; variable perceptions of leadership and team coordination</w:t>
            </w:r>
          </w:p>
        </w:tc>
        <w:tc>
          <w:tcPr>
            <w:tcW w:w="0" w:type="auto"/>
            <w:hideMark/>
          </w:tcPr>
          <w:p w14:paraId="68DAE556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Leadership and coordination were rated extremely important by 64.6%</w:t>
            </w:r>
          </w:p>
        </w:tc>
        <w:tc>
          <w:tcPr>
            <w:tcW w:w="0" w:type="auto"/>
            <w:hideMark/>
          </w:tcPr>
          <w:p w14:paraId="309D0935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Shared recognition of leadership and teamwork as essential competencies</w:t>
            </w:r>
          </w:p>
        </w:tc>
      </w:tr>
      <w:tr w:rsidR="00FA4F6A" w:rsidRPr="0071373F" w14:paraId="64D81035" w14:textId="77777777" w:rsidTr="00647EC2">
        <w:tc>
          <w:tcPr>
            <w:tcW w:w="0" w:type="auto"/>
            <w:hideMark/>
          </w:tcPr>
          <w:p w14:paraId="570DB8C8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Preferred training strategies</w:t>
            </w:r>
          </w:p>
        </w:tc>
        <w:tc>
          <w:tcPr>
            <w:tcW w:w="0" w:type="auto"/>
            <w:hideMark/>
          </w:tcPr>
          <w:p w14:paraId="4476B369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Strong preference for simulation-based learning (needs assessment)</w:t>
            </w:r>
          </w:p>
        </w:tc>
        <w:tc>
          <w:tcPr>
            <w:tcW w:w="0" w:type="auto"/>
            <w:hideMark/>
          </w:tcPr>
          <w:p w14:paraId="18CDAC6C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Simulation-based exercises (87.5%) and hands-on skills (84.4%) were prioritized</w:t>
            </w:r>
          </w:p>
        </w:tc>
        <w:tc>
          <w:tcPr>
            <w:tcW w:w="0" w:type="auto"/>
            <w:hideMark/>
          </w:tcPr>
          <w:p w14:paraId="255C6694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Convergence supports simulation-based, experiential, team-focused training design</w:t>
            </w:r>
          </w:p>
        </w:tc>
      </w:tr>
      <w:tr w:rsidR="00FA4F6A" w:rsidRPr="0071373F" w14:paraId="16DCF83D" w14:textId="77777777" w:rsidTr="00647EC2">
        <w:tc>
          <w:tcPr>
            <w:tcW w:w="0" w:type="auto"/>
            <w:hideMark/>
          </w:tcPr>
          <w:p w14:paraId="4FF2B64B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Assessment &amp; feedback</w:t>
            </w:r>
          </w:p>
        </w:tc>
        <w:tc>
          <w:tcPr>
            <w:tcW w:w="0" w:type="auto"/>
            <w:hideMark/>
          </w:tcPr>
          <w:p w14:paraId="2D482A72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Identified the need for structured feedback during training</w:t>
            </w:r>
          </w:p>
        </w:tc>
        <w:tc>
          <w:tcPr>
            <w:tcW w:w="0" w:type="auto"/>
            <w:hideMark/>
          </w:tcPr>
          <w:p w14:paraId="44913107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93.8% preferred real-time simulation with feedback; feedback practices were inconsistent in routine care</w:t>
            </w:r>
          </w:p>
        </w:tc>
        <w:tc>
          <w:tcPr>
            <w:tcW w:w="0" w:type="auto"/>
            <w:hideMark/>
          </w:tcPr>
          <w:p w14:paraId="1112BCAD" w14:textId="77777777" w:rsidR="00FA4F6A" w:rsidRPr="0071373F" w:rsidRDefault="00FA4F6A" w:rsidP="00647EC2">
            <w:pPr>
              <w:spacing w:line="48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7137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Supports embedding structured debriefing and feedback within training modules</w:t>
            </w:r>
          </w:p>
        </w:tc>
      </w:tr>
    </w:tbl>
    <w:p w14:paraId="565D7C95" w14:textId="77777777" w:rsidR="00742D5F" w:rsidRDefault="00742D5F"/>
    <w:p w14:paraId="119A7F40" w14:textId="11E4B874" w:rsidR="007B1DBC" w:rsidRPr="0071373F" w:rsidRDefault="007B1DBC" w:rsidP="007B1DBC">
      <w:pPr>
        <w:spacing w:line="480" w:lineRule="auto"/>
        <w:rPr>
          <w:rFonts w:ascii="Arial" w:hAnsi="Arial" w:cs="Arial"/>
          <w:sz w:val="24"/>
          <w:szCs w:val="24"/>
        </w:rPr>
      </w:pPr>
    </w:p>
    <w:p w14:paraId="57BE06BE" w14:textId="77777777" w:rsidR="007B1DBC" w:rsidRDefault="007B1DBC"/>
    <w:sectPr w:rsidR="007B1DBC" w:rsidSect="00FA4F6A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0BC" w14:textId="77777777" w:rsidR="005B110F" w:rsidRDefault="005B110F">
      <w:pPr>
        <w:spacing w:after="0" w:line="240" w:lineRule="auto"/>
      </w:pPr>
      <w:r>
        <w:separator/>
      </w:r>
    </w:p>
  </w:endnote>
  <w:endnote w:type="continuationSeparator" w:id="0">
    <w:p w14:paraId="1EC31D30" w14:textId="77777777" w:rsidR="005B110F" w:rsidRDefault="005B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2323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D3FF7" w14:textId="77777777" w:rsidR="00FA4F6A" w:rsidRDefault="00FA4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6BE4E9" w14:textId="77777777" w:rsidR="00FA4F6A" w:rsidRDefault="00FA4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0C27" w14:textId="77777777" w:rsidR="005B110F" w:rsidRDefault="005B110F">
      <w:pPr>
        <w:spacing w:after="0" w:line="240" w:lineRule="auto"/>
      </w:pPr>
      <w:r>
        <w:separator/>
      </w:r>
    </w:p>
  </w:footnote>
  <w:footnote w:type="continuationSeparator" w:id="0">
    <w:p w14:paraId="3B124800" w14:textId="77777777" w:rsidR="005B110F" w:rsidRDefault="005B1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6A"/>
    <w:rsid w:val="00263FD0"/>
    <w:rsid w:val="002B7364"/>
    <w:rsid w:val="003E0851"/>
    <w:rsid w:val="005B110F"/>
    <w:rsid w:val="007373BC"/>
    <w:rsid w:val="00742D5F"/>
    <w:rsid w:val="007B1DBC"/>
    <w:rsid w:val="00844898"/>
    <w:rsid w:val="00A61E30"/>
    <w:rsid w:val="00FA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92EB"/>
  <w15:chartTrackingRefBased/>
  <w15:docId w15:val="{D3B71401-EC54-47E9-84B5-D124709B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6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A4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A4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F6A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A4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F6A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FA4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F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4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F6A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A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 A [MAHE-KMCMLR]</dc:creator>
  <cp:keywords/>
  <dc:description/>
  <cp:lastModifiedBy>Sanjan A [MAHE-KMCMLR]</cp:lastModifiedBy>
  <cp:revision>2</cp:revision>
  <dcterms:created xsi:type="dcterms:W3CDTF">2026-05-11T05:57:00Z</dcterms:created>
  <dcterms:modified xsi:type="dcterms:W3CDTF">2026-05-11T05:57:00Z</dcterms:modified>
</cp:coreProperties>
</file>