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BBFA" w14:textId="1A892D43" w:rsidR="00262904" w:rsidRPr="00D03CED" w:rsidRDefault="00010DAA" w:rsidP="00262904">
      <w:pPr>
        <w:rPr>
          <w:rFonts w:cstheme="minorHAnsi"/>
          <w:b/>
          <w:bCs/>
          <w:sz w:val="20"/>
          <w:szCs w:val="20"/>
          <w:lang w:val="en-US"/>
        </w:rPr>
      </w:pPr>
      <w:r w:rsidRPr="00D03CED">
        <w:rPr>
          <w:rFonts w:cstheme="minorHAnsi"/>
          <w:b/>
          <w:bCs/>
          <w:sz w:val="20"/>
          <w:szCs w:val="20"/>
          <w:lang w:val="en-US"/>
        </w:rPr>
        <w:t xml:space="preserve">Table A1. </w:t>
      </w:r>
      <w:r w:rsidRPr="00CE286B">
        <w:rPr>
          <w:rFonts w:cstheme="minorHAnsi"/>
          <w:sz w:val="20"/>
          <w:szCs w:val="20"/>
        </w:rPr>
        <w:t xml:space="preserve">PICO Framework </w:t>
      </w:r>
    </w:p>
    <w:tbl>
      <w:tblPr>
        <w:tblStyle w:val="TableGrid"/>
        <w:tblW w:w="0" w:type="auto"/>
        <w:tblLook w:val="04A0" w:firstRow="1" w:lastRow="0" w:firstColumn="1" w:lastColumn="0" w:noHBand="0" w:noVBand="1"/>
      </w:tblPr>
      <w:tblGrid>
        <w:gridCol w:w="1615"/>
        <w:gridCol w:w="7401"/>
      </w:tblGrid>
      <w:tr w:rsidR="00262904" w:rsidRPr="00D03CED" w14:paraId="017E1AB5" w14:textId="77777777" w:rsidTr="00262904">
        <w:tc>
          <w:tcPr>
            <w:tcW w:w="1615" w:type="dxa"/>
            <w:hideMark/>
          </w:tcPr>
          <w:p w14:paraId="51CE626D" w14:textId="77777777" w:rsidR="00262904" w:rsidRPr="00D03CED" w:rsidRDefault="00262904" w:rsidP="00262904">
            <w:pPr>
              <w:spacing w:after="160" w:line="278" w:lineRule="auto"/>
              <w:rPr>
                <w:rFonts w:cstheme="minorHAnsi"/>
                <w:b/>
                <w:bCs/>
                <w:sz w:val="20"/>
                <w:szCs w:val="20"/>
              </w:rPr>
            </w:pPr>
            <w:r w:rsidRPr="00D03CED">
              <w:rPr>
                <w:rFonts w:cstheme="minorHAnsi"/>
                <w:b/>
                <w:bCs/>
                <w:sz w:val="20"/>
                <w:szCs w:val="20"/>
              </w:rPr>
              <w:t>Element</w:t>
            </w:r>
          </w:p>
        </w:tc>
        <w:tc>
          <w:tcPr>
            <w:tcW w:w="7401" w:type="dxa"/>
            <w:hideMark/>
          </w:tcPr>
          <w:p w14:paraId="75A2CC22" w14:textId="77777777" w:rsidR="00262904" w:rsidRPr="00D03CED" w:rsidRDefault="00262904" w:rsidP="00262904">
            <w:pPr>
              <w:spacing w:after="160" w:line="278" w:lineRule="auto"/>
              <w:rPr>
                <w:rFonts w:cstheme="minorHAnsi"/>
                <w:b/>
                <w:bCs/>
                <w:sz w:val="20"/>
                <w:szCs w:val="20"/>
              </w:rPr>
            </w:pPr>
            <w:r w:rsidRPr="00D03CED">
              <w:rPr>
                <w:rFonts w:cstheme="minorHAnsi"/>
                <w:b/>
                <w:bCs/>
                <w:sz w:val="20"/>
                <w:szCs w:val="20"/>
              </w:rPr>
              <w:t>Description</w:t>
            </w:r>
          </w:p>
        </w:tc>
      </w:tr>
      <w:tr w:rsidR="00262904" w:rsidRPr="00D03CED" w14:paraId="5A71FBAA" w14:textId="77777777" w:rsidTr="00262904">
        <w:tc>
          <w:tcPr>
            <w:tcW w:w="1615" w:type="dxa"/>
            <w:hideMark/>
          </w:tcPr>
          <w:p w14:paraId="5DD34A06" w14:textId="77777777" w:rsidR="00262904" w:rsidRPr="00D03CED" w:rsidRDefault="00262904" w:rsidP="00262904">
            <w:pPr>
              <w:spacing w:after="160" w:line="278" w:lineRule="auto"/>
              <w:rPr>
                <w:rFonts w:cstheme="minorHAnsi"/>
                <w:b/>
                <w:bCs/>
                <w:sz w:val="20"/>
                <w:szCs w:val="20"/>
              </w:rPr>
            </w:pPr>
            <w:r w:rsidRPr="00D03CED">
              <w:rPr>
                <w:rFonts w:cstheme="minorHAnsi"/>
                <w:b/>
                <w:bCs/>
                <w:sz w:val="20"/>
                <w:szCs w:val="20"/>
              </w:rPr>
              <w:t>Population (P)</w:t>
            </w:r>
          </w:p>
        </w:tc>
        <w:tc>
          <w:tcPr>
            <w:tcW w:w="7401" w:type="dxa"/>
            <w:hideMark/>
          </w:tcPr>
          <w:p w14:paraId="44E3AC29" w14:textId="31AAEC90" w:rsidR="00262904" w:rsidRDefault="00262904" w:rsidP="00262904">
            <w:pPr>
              <w:spacing w:after="160" w:line="278" w:lineRule="auto"/>
              <w:rPr>
                <w:rFonts w:cstheme="minorHAnsi"/>
                <w:sz w:val="20"/>
                <w:szCs w:val="20"/>
              </w:rPr>
            </w:pPr>
            <w:r w:rsidRPr="00D03CED">
              <w:rPr>
                <w:rFonts w:cstheme="minorHAnsi"/>
                <w:sz w:val="20"/>
                <w:szCs w:val="20"/>
              </w:rPr>
              <w:t>Populations in malaria-endemic regions of sub-Saharan Africa between 2011 and 2025, including diverse ecological, demographic, and health system contexts across countries</w:t>
            </w:r>
            <w:r w:rsidR="00997CAD">
              <w:rPr>
                <w:rFonts w:cstheme="minorHAnsi"/>
                <w:sz w:val="20"/>
                <w:szCs w:val="20"/>
              </w:rPr>
              <w:t>.</w:t>
            </w:r>
          </w:p>
          <w:p w14:paraId="1B5DE0AD" w14:textId="72376526" w:rsidR="00997CAD" w:rsidRPr="00997CAD" w:rsidRDefault="00997CAD" w:rsidP="00262904">
            <w:pPr>
              <w:spacing w:after="160" w:line="278" w:lineRule="auto"/>
              <w:rPr>
                <w:rFonts w:cstheme="minorHAnsi"/>
                <w:sz w:val="20"/>
                <w:szCs w:val="20"/>
              </w:rPr>
            </w:pPr>
            <w:r>
              <w:rPr>
                <w:rFonts w:cstheme="minorHAnsi"/>
                <w:b/>
                <w:bCs/>
                <w:sz w:val="20"/>
                <w:szCs w:val="20"/>
              </w:rPr>
              <w:t xml:space="preserve">SSA: </w:t>
            </w:r>
            <w:r w:rsidRPr="00997CAD">
              <w:rPr>
                <w:rFonts w:cstheme="minorHAnsi"/>
                <w:sz w:val="20"/>
                <w:szCs w:val="20"/>
              </w:rPr>
              <w:t>Africa South of the Sahara, Tropical Africa, or Equatorial Africa</w:t>
            </w:r>
          </w:p>
          <w:p w14:paraId="427B151F" w14:textId="523055F8" w:rsidR="00997CAD" w:rsidRPr="00997CAD" w:rsidRDefault="00997CAD" w:rsidP="00262904">
            <w:pPr>
              <w:spacing w:after="160" w:line="278" w:lineRule="auto"/>
              <w:rPr>
                <w:rFonts w:cstheme="minorHAnsi"/>
                <w:sz w:val="20"/>
                <w:szCs w:val="20"/>
              </w:rPr>
            </w:pPr>
            <w:r w:rsidRPr="00997CAD">
              <w:rPr>
                <w:rFonts w:cstheme="minorHAnsi"/>
                <w:b/>
                <w:bCs/>
                <w:sz w:val="20"/>
                <w:szCs w:val="20"/>
              </w:rPr>
              <w:t>Region:</w:t>
            </w:r>
            <w:r>
              <w:rPr>
                <w:rFonts w:cstheme="minorHAnsi"/>
                <w:b/>
                <w:bCs/>
                <w:sz w:val="20"/>
                <w:szCs w:val="20"/>
              </w:rPr>
              <w:t xml:space="preserve"> </w:t>
            </w:r>
            <w:r w:rsidRPr="00997CAD">
              <w:rPr>
                <w:rFonts w:cstheme="minorHAnsi"/>
                <w:sz w:val="20"/>
                <w:szCs w:val="20"/>
              </w:rPr>
              <w:t>Central Africa, East Africa, Southern Africa, and West Africa.</w:t>
            </w:r>
          </w:p>
          <w:p w14:paraId="55E8100F" w14:textId="61D3EACD" w:rsidR="00997CAD" w:rsidRPr="00997CAD" w:rsidRDefault="00997CAD" w:rsidP="00997CAD">
            <w:pPr>
              <w:rPr>
                <w:rFonts w:cstheme="minorHAnsi"/>
                <w:sz w:val="20"/>
                <w:szCs w:val="20"/>
              </w:rPr>
            </w:pPr>
            <w:r w:rsidRPr="00997CAD">
              <w:rPr>
                <w:rFonts w:cstheme="minorHAnsi"/>
                <w:b/>
                <w:bCs/>
                <w:sz w:val="20"/>
                <w:szCs w:val="20"/>
              </w:rPr>
              <w:t>Countries:</w:t>
            </w:r>
            <w:r>
              <w:rPr>
                <w:rFonts w:cstheme="minorHAnsi"/>
                <w:sz w:val="20"/>
                <w:szCs w:val="20"/>
              </w:rPr>
              <w:t xml:space="preserve"> </w:t>
            </w:r>
            <w:r w:rsidRPr="00997CAD">
              <w:rPr>
                <w:rFonts w:cstheme="minorHAnsi"/>
                <w:sz w:val="20"/>
                <w:szCs w:val="20"/>
              </w:rPr>
              <w:t>Angola</w:t>
            </w:r>
            <w:r>
              <w:rPr>
                <w:rFonts w:cstheme="minorHAnsi"/>
                <w:sz w:val="20"/>
                <w:szCs w:val="20"/>
              </w:rPr>
              <w:t xml:space="preserve">, </w:t>
            </w:r>
            <w:r w:rsidRPr="00997CAD">
              <w:rPr>
                <w:rFonts w:cstheme="minorHAnsi"/>
                <w:sz w:val="20"/>
                <w:szCs w:val="20"/>
              </w:rPr>
              <w:t>Benin</w:t>
            </w:r>
            <w:r>
              <w:rPr>
                <w:rFonts w:cstheme="minorHAnsi"/>
                <w:sz w:val="20"/>
                <w:szCs w:val="20"/>
              </w:rPr>
              <w:t xml:space="preserve">, </w:t>
            </w:r>
            <w:r w:rsidRPr="00997CAD">
              <w:rPr>
                <w:rFonts w:cstheme="minorHAnsi"/>
                <w:sz w:val="20"/>
                <w:szCs w:val="20"/>
              </w:rPr>
              <w:t>Botswana</w:t>
            </w:r>
            <w:r>
              <w:rPr>
                <w:rFonts w:cstheme="minorHAnsi"/>
                <w:sz w:val="20"/>
                <w:szCs w:val="20"/>
              </w:rPr>
              <w:t xml:space="preserve">, </w:t>
            </w:r>
            <w:r w:rsidRPr="00997CAD">
              <w:rPr>
                <w:rFonts w:cstheme="minorHAnsi"/>
                <w:sz w:val="20"/>
                <w:szCs w:val="20"/>
              </w:rPr>
              <w:t>Burkina Faso</w:t>
            </w:r>
            <w:r>
              <w:rPr>
                <w:rFonts w:cstheme="minorHAnsi"/>
                <w:sz w:val="20"/>
                <w:szCs w:val="20"/>
              </w:rPr>
              <w:t xml:space="preserve">, </w:t>
            </w:r>
            <w:r w:rsidRPr="00997CAD">
              <w:rPr>
                <w:rFonts w:cstheme="minorHAnsi"/>
                <w:sz w:val="20"/>
                <w:szCs w:val="20"/>
              </w:rPr>
              <w:t>Burundi</w:t>
            </w:r>
            <w:r>
              <w:rPr>
                <w:rFonts w:cstheme="minorHAnsi"/>
                <w:sz w:val="20"/>
                <w:szCs w:val="20"/>
              </w:rPr>
              <w:t xml:space="preserve">, </w:t>
            </w:r>
            <w:r w:rsidRPr="00997CAD">
              <w:rPr>
                <w:rFonts w:cstheme="minorHAnsi"/>
                <w:sz w:val="20"/>
                <w:szCs w:val="20"/>
              </w:rPr>
              <w:t>Cabo Verde (Cape Verde)</w:t>
            </w:r>
          </w:p>
          <w:p w14:paraId="7B72E495" w14:textId="3D206C9C" w:rsidR="00997CAD" w:rsidRPr="00997CAD" w:rsidRDefault="00997CAD" w:rsidP="00997CAD">
            <w:pPr>
              <w:rPr>
                <w:rFonts w:cstheme="minorHAnsi"/>
                <w:sz w:val="20"/>
                <w:szCs w:val="20"/>
              </w:rPr>
            </w:pPr>
            <w:r w:rsidRPr="00997CAD">
              <w:rPr>
                <w:rFonts w:cstheme="minorHAnsi"/>
                <w:sz w:val="20"/>
                <w:szCs w:val="20"/>
              </w:rPr>
              <w:t>Cameroon</w:t>
            </w:r>
            <w:r>
              <w:rPr>
                <w:rFonts w:cstheme="minorHAnsi"/>
                <w:sz w:val="20"/>
                <w:szCs w:val="20"/>
              </w:rPr>
              <w:t xml:space="preserve">, </w:t>
            </w:r>
            <w:r w:rsidRPr="00997CAD">
              <w:rPr>
                <w:rFonts w:cstheme="minorHAnsi"/>
                <w:sz w:val="20"/>
                <w:szCs w:val="20"/>
              </w:rPr>
              <w:t>Central African Republic</w:t>
            </w:r>
            <w:r>
              <w:rPr>
                <w:rFonts w:cstheme="minorHAnsi"/>
                <w:sz w:val="20"/>
                <w:szCs w:val="20"/>
              </w:rPr>
              <w:t xml:space="preserve">, </w:t>
            </w:r>
            <w:r w:rsidRPr="00997CAD">
              <w:rPr>
                <w:rFonts w:cstheme="minorHAnsi"/>
                <w:sz w:val="20"/>
                <w:szCs w:val="20"/>
              </w:rPr>
              <w:t>Chad</w:t>
            </w:r>
            <w:r>
              <w:rPr>
                <w:rFonts w:cstheme="minorHAnsi"/>
                <w:sz w:val="20"/>
                <w:szCs w:val="20"/>
              </w:rPr>
              <w:t xml:space="preserve">, </w:t>
            </w:r>
            <w:r w:rsidRPr="00997CAD">
              <w:rPr>
                <w:rFonts w:cstheme="minorHAnsi"/>
                <w:sz w:val="20"/>
                <w:szCs w:val="20"/>
              </w:rPr>
              <w:t>Comoros</w:t>
            </w:r>
            <w:r>
              <w:rPr>
                <w:rFonts w:cstheme="minorHAnsi"/>
                <w:sz w:val="20"/>
                <w:szCs w:val="20"/>
              </w:rPr>
              <w:t xml:space="preserve">, </w:t>
            </w:r>
            <w:r w:rsidRPr="00997CAD">
              <w:rPr>
                <w:rFonts w:cstheme="minorHAnsi"/>
                <w:sz w:val="20"/>
                <w:szCs w:val="20"/>
              </w:rPr>
              <w:t>Democratic Republic of the Congo</w:t>
            </w:r>
          </w:p>
          <w:p w14:paraId="4DBDE692" w14:textId="3AD1E081" w:rsidR="00997CAD" w:rsidRPr="00997CAD" w:rsidRDefault="00997CAD" w:rsidP="00997CAD">
            <w:pPr>
              <w:rPr>
                <w:rFonts w:cstheme="minorHAnsi"/>
                <w:sz w:val="20"/>
                <w:szCs w:val="20"/>
              </w:rPr>
            </w:pPr>
            <w:r w:rsidRPr="00997CAD">
              <w:rPr>
                <w:rFonts w:cstheme="minorHAnsi"/>
                <w:sz w:val="20"/>
                <w:szCs w:val="20"/>
              </w:rPr>
              <w:t>Republic of the Congo</w:t>
            </w:r>
            <w:r>
              <w:rPr>
                <w:rFonts w:cstheme="minorHAnsi"/>
                <w:sz w:val="20"/>
                <w:szCs w:val="20"/>
              </w:rPr>
              <w:t xml:space="preserve">, </w:t>
            </w:r>
            <w:r w:rsidRPr="00997CAD">
              <w:rPr>
                <w:rFonts w:cstheme="minorHAnsi"/>
                <w:sz w:val="20"/>
                <w:szCs w:val="20"/>
              </w:rPr>
              <w:t>Côte d'Ivoire (Ivory Coast)</w:t>
            </w:r>
            <w:r>
              <w:rPr>
                <w:rFonts w:cstheme="minorHAnsi"/>
                <w:sz w:val="20"/>
                <w:szCs w:val="20"/>
              </w:rPr>
              <w:t xml:space="preserve">, </w:t>
            </w:r>
            <w:r w:rsidRPr="00997CAD">
              <w:rPr>
                <w:rFonts w:cstheme="minorHAnsi"/>
                <w:sz w:val="20"/>
                <w:szCs w:val="20"/>
              </w:rPr>
              <w:t>Djibouti</w:t>
            </w:r>
            <w:r>
              <w:rPr>
                <w:rFonts w:cstheme="minorHAnsi"/>
                <w:sz w:val="20"/>
                <w:szCs w:val="20"/>
              </w:rPr>
              <w:t xml:space="preserve">, </w:t>
            </w:r>
            <w:r w:rsidRPr="00997CAD">
              <w:rPr>
                <w:rFonts w:cstheme="minorHAnsi"/>
                <w:sz w:val="20"/>
                <w:szCs w:val="20"/>
              </w:rPr>
              <w:t>Equatorial Guinea</w:t>
            </w:r>
            <w:r>
              <w:rPr>
                <w:rFonts w:cstheme="minorHAnsi"/>
                <w:sz w:val="20"/>
                <w:szCs w:val="20"/>
              </w:rPr>
              <w:t xml:space="preserve">, </w:t>
            </w:r>
            <w:r w:rsidRPr="00997CAD">
              <w:rPr>
                <w:rFonts w:cstheme="minorHAnsi"/>
                <w:sz w:val="20"/>
                <w:szCs w:val="20"/>
              </w:rPr>
              <w:t>Eritrea</w:t>
            </w:r>
            <w:r>
              <w:rPr>
                <w:rFonts w:cstheme="minorHAnsi"/>
                <w:sz w:val="20"/>
                <w:szCs w:val="20"/>
              </w:rPr>
              <w:t xml:space="preserve">, </w:t>
            </w:r>
            <w:r w:rsidRPr="00997CAD">
              <w:rPr>
                <w:rFonts w:cstheme="minorHAnsi"/>
                <w:sz w:val="20"/>
                <w:szCs w:val="20"/>
              </w:rPr>
              <w:t>Eswatini</w:t>
            </w:r>
            <w:r>
              <w:rPr>
                <w:rFonts w:cstheme="minorHAnsi"/>
                <w:sz w:val="20"/>
                <w:szCs w:val="20"/>
              </w:rPr>
              <w:t xml:space="preserve">, </w:t>
            </w:r>
            <w:r w:rsidRPr="00997CAD">
              <w:rPr>
                <w:rFonts w:cstheme="minorHAnsi"/>
                <w:sz w:val="20"/>
                <w:szCs w:val="20"/>
              </w:rPr>
              <w:t>Ethiopia</w:t>
            </w:r>
            <w:r>
              <w:rPr>
                <w:rFonts w:cstheme="minorHAnsi"/>
                <w:sz w:val="20"/>
                <w:szCs w:val="20"/>
              </w:rPr>
              <w:t xml:space="preserve">, </w:t>
            </w:r>
            <w:r w:rsidRPr="00997CAD">
              <w:rPr>
                <w:rFonts w:cstheme="minorHAnsi"/>
                <w:sz w:val="20"/>
                <w:szCs w:val="20"/>
              </w:rPr>
              <w:t>Gabon</w:t>
            </w:r>
            <w:r>
              <w:rPr>
                <w:rFonts w:cstheme="minorHAnsi"/>
                <w:sz w:val="20"/>
                <w:szCs w:val="20"/>
              </w:rPr>
              <w:t xml:space="preserve">, </w:t>
            </w:r>
            <w:r w:rsidRPr="00997CAD">
              <w:rPr>
                <w:rFonts w:cstheme="minorHAnsi"/>
                <w:sz w:val="20"/>
                <w:szCs w:val="20"/>
              </w:rPr>
              <w:t>Gambia</w:t>
            </w:r>
            <w:r>
              <w:rPr>
                <w:rFonts w:cstheme="minorHAnsi"/>
                <w:sz w:val="20"/>
                <w:szCs w:val="20"/>
              </w:rPr>
              <w:t xml:space="preserve">, </w:t>
            </w:r>
            <w:r w:rsidRPr="00997CAD">
              <w:rPr>
                <w:rFonts w:cstheme="minorHAnsi"/>
                <w:sz w:val="20"/>
                <w:szCs w:val="20"/>
              </w:rPr>
              <w:t>Ghana</w:t>
            </w:r>
            <w:r>
              <w:rPr>
                <w:rFonts w:cstheme="minorHAnsi"/>
                <w:sz w:val="20"/>
                <w:szCs w:val="20"/>
              </w:rPr>
              <w:t xml:space="preserve">, </w:t>
            </w:r>
            <w:r w:rsidRPr="00997CAD">
              <w:rPr>
                <w:rFonts w:cstheme="minorHAnsi"/>
                <w:sz w:val="20"/>
                <w:szCs w:val="20"/>
              </w:rPr>
              <w:t>Guinea</w:t>
            </w:r>
            <w:r>
              <w:rPr>
                <w:rFonts w:cstheme="minorHAnsi"/>
                <w:sz w:val="20"/>
                <w:szCs w:val="20"/>
              </w:rPr>
              <w:t xml:space="preserve">, </w:t>
            </w:r>
            <w:r w:rsidRPr="00997CAD">
              <w:rPr>
                <w:rFonts w:cstheme="minorHAnsi"/>
                <w:sz w:val="20"/>
                <w:szCs w:val="20"/>
              </w:rPr>
              <w:t>Guinea-Bissau</w:t>
            </w:r>
            <w:r>
              <w:rPr>
                <w:rFonts w:cstheme="minorHAnsi"/>
                <w:sz w:val="20"/>
                <w:szCs w:val="20"/>
              </w:rPr>
              <w:t xml:space="preserve">, </w:t>
            </w:r>
            <w:r w:rsidRPr="00997CAD">
              <w:rPr>
                <w:rFonts w:cstheme="minorHAnsi"/>
                <w:sz w:val="20"/>
                <w:szCs w:val="20"/>
              </w:rPr>
              <w:t>Kenya</w:t>
            </w:r>
            <w:r>
              <w:rPr>
                <w:rFonts w:cstheme="minorHAnsi"/>
                <w:sz w:val="20"/>
                <w:szCs w:val="20"/>
              </w:rPr>
              <w:t xml:space="preserve">, </w:t>
            </w:r>
            <w:r w:rsidRPr="00997CAD">
              <w:rPr>
                <w:rFonts w:cstheme="minorHAnsi"/>
                <w:sz w:val="20"/>
                <w:szCs w:val="20"/>
              </w:rPr>
              <w:t>Lesotho</w:t>
            </w:r>
            <w:r>
              <w:rPr>
                <w:rFonts w:cstheme="minorHAnsi"/>
                <w:sz w:val="20"/>
                <w:szCs w:val="20"/>
              </w:rPr>
              <w:t xml:space="preserve">, </w:t>
            </w:r>
            <w:r w:rsidRPr="00997CAD">
              <w:rPr>
                <w:rFonts w:cstheme="minorHAnsi"/>
                <w:sz w:val="20"/>
                <w:szCs w:val="20"/>
              </w:rPr>
              <w:t>Liberia</w:t>
            </w:r>
            <w:r>
              <w:rPr>
                <w:rFonts w:cstheme="minorHAnsi"/>
                <w:sz w:val="20"/>
                <w:szCs w:val="20"/>
              </w:rPr>
              <w:t xml:space="preserve">, </w:t>
            </w:r>
            <w:r w:rsidRPr="00997CAD">
              <w:rPr>
                <w:rFonts w:cstheme="minorHAnsi"/>
                <w:sz w:val="20"/>
                <w:szCs w:val="20"/>
              </w:rPr>
              <w:t>Madagascar</w:t>
            </w:r>
            <w:r>
              <w:rPr>
                <w:rFonts w:cstheme="minorHAnsi"/>
                <w:sz w:val="20"/>
                <w:szCs w:val="20"/>
              </w:rPr>
              <w:t xml:space="preserve">, </w:t>
            </w:r>
            <w:r w:rsidRPr="00997CAD">
              <w:rPr>
                <w:rFonts w:cstheme="minorHAnsi"/>
                <w:sz w:val="20"/>
                <w:szCs w:val="20"/>
              </w:rPr>
              <w:t>Malawi</w:t>
            </w:r>
            <w:r>
              <w:rPr>
                <w:rFonts w:cstheme="minorHAnsi"/>
                <w:sz w:val="20"/>
                <w:szCs w:val="20"/>
              </w:rPr>
              <w:t xml:space="preserve">, </w:t>
            </w:r>
            <w:r w:rsidRPr="00997CAD">
              <w:rPr>
                <w:rFonts w:cstheme="minorHAnsi"/>
                <w:sz w:val="20"/>
                <w:szCs w:val="20"/>
              </w:rPr>
              <w:t>Mali</w:t>
            </w:r>
            <w:r>
              <w:rPr>
                <w:rFonts w:cstheme="minorHAnsi"/>
                <w:sz w:val="20"/>
                <w:szCs w:val="20"/>
              </w:rPr>
              <w:t xml:space="preserve">, </w:t>
            </w:r>
            <w:r w:rsidRPr="00997CAD">
              <w:rPr>
                <w:rFonts w:cstheme="minorHAnsi"/>
                <w:sz w:val="20"/>
                <w:szCs w:val="20"/>
              </w:rPr>
              <w:t>Mauritania</w:t>
            </w:r>
            <w:r>
              <w:rPr>
                <w:rFonts w:cstheme="minorHAnsi"/>
                <w:sz w:val="20"/>
                <w:szCs w:val="20"/>
              </w:rPr>
              <w:t xml:space="preserve">, </w:t>
            </w:r>
            <w:r w:rsidRPr="00997CAD">
              <w:rPr>
                <w:rFonts w:cstheme="minorHAnsi"/>
                <w:sz w:val="20"/>
                <w:szCs w:val="20"/>
              </w:rPr>
              <w:t>Mauritius</w:t>
            </w:r>
            <w:r>
              <w:rPr>
                <w:rFonts w:cstheme="minorHAnsi"/>
                <w:sz w:val="20"/>
                <w:szCs w:val="20"/>
              </w:rPr>
              <w:t xml:space="preserve">, </w:t>
            </w:r>
            <w:r w:rsidRPr="00997CAD">
              <w:rPr>
                <w:rFonts w:cstheme="minorHAnsi"/>
                <w:sz w:val="20"/>
                <w:szCs w:val="20"/>
              </w:rPr>
              <w:t>Mozambique</w:t>
            </w:r>
            <w:r>
              <w:rPr>
                <w:rFonts w:cstheme="minorHAnsi"/>
                <w:sz w:val="20"/>
                <w:szCs w:val="20"/>
              </w:rPr>
              <w:t xml:space="preserve">, </w:t>
            </w:r>
            <w:r w:rsidRPr="00997CAD">
              <w:rPr>
                <w:rFonts w:cstheme="minorHAnsi"/>
                <w:sz w:val="20"/>
                <w:szCs w:val="20"/>
              </w:rPr>
              <w:t>Namibia</w:t>
            </w:r>
            <w:r>
              <w:rPr>
                <w:rFonts w:cstheme="minorHAnsi"/>
                <w:sz w:val="20"/>
                <w:szCs w:val="20"/>
              </w:rPr>
              <w:t xml:space="preserve">, </w:t>
            </w:r>
            <w:r w:rsidRPr="00997CAD">
              <w:rPr>
                <w:rFonts w:cstheme="minorHAnsi"/>
                <w:sz w:val="20"/>
                <w:szCs w:val="20"/>
              </w:rPr>
              <w:t>Niger</w:t>
            </w:r>
          </w:p>
          <w:p w14:paraId="0A1BD73C" w14:textId="6E1B7935" w:rsidR="00997CAD" w:rsidRDefault="00997CAD" w:rsidP="00997CAD">
            <w:pPr>
              <w:rPr>
                <w:rFonts w:cstheme="minorHAnsi"/>
                <w:sz w:val="20"/>
                <w:szCs w:val="20"/>
              </w:rPr>
            </w:pPr>
            <w:r w:rsidRPr="00997CAD">
              <w:rPr>
                <w:rFonts w:cstheme="minorHAnsi"/>
                <w:sz w:val="20"/>
                <w:szCs w:val="20"/>
              </w:rPr>
              <w:t>Nigeria</w:t>
            </w:r>
            <w:r>
              <w:rPr>
                <w:rFonts w:cstheme="minorHAnsi"/>
                <w:sz w:val="20"/>
                <w:szCs w:val="20"/>
              </w:rPr>
              <w:t xml:space="preserve">, </w:t>
            </w:r>
            <w:r w:rsidRPr="00997CAD">
              <w:rPr>
                <w:rFonts w:cstheme="minorHAnsi"/>
                <w:sz w:val="20"/>
                <w:szCs w:val="20"/>
              </w:rPr>
              <w:t>Rwanda</w:t>
            </w:r>
            <w:r>
              <w:rPr>
                <w:rFonts w:cstheme="minorHAnsi"/>
                <w:sz w:val="20"/>
                <w:szCs w:val="20"/>
              </w:rPr>
              <w:t xml:space="preserve">, </w:t>
            </w:r>
            <w:r w:rsidRPr="00997CAD">
              <w:rPr>
                <w:rFonts w:cstheme="minorHAnsi"/>
                <w:sz w:val="20"/>
                <w:szCs w:val="20"/>
              </w:rPr>
              <w:t>São Tomé and Príncipe</w:t>
            </w:r>
            <w:r>
              <w:rPr>
                <w:rFonts w:cstheme="minorHAnsi"/>
                <w:sz w:val="20"/>
                <w:szCs w:val="20"/>
              </w:rPr>
              <w:t xml:space="preserve">, </w:t>
            </w:r>
            <w:r w:rsidRPr="00997CAD">
              <w:rPr>
                <w:rFonts w:cstheme="minorHAnsi"/>
                <w:sz w:val="20"/>
                <w:szCs w:val="20"/>
              </w:rPr>
              <w:t>Senegal</w:t>
            </w:r>
            <w:r>
              <w:rPr>
                <w:rFonts w:cstheme="minorHAnsi"/>
                <w:sz w:val="20"/>
                <w:szCs w:val="20"/>
              </w:rPr>
              <w:t xml:space="preserve">, </w:t>
            </w:r>
            <w:r w:rsidRPr="00997CAD">
              <w:rPr>
                <w:rFonts w:cstheme="minorHAnsi"/>
                <w:sz w:val="20"/>
                <w:szCs w:val="20"/>
              </w:rPr>
              <w:t>Seychelles</w:t>
            </w:r>
            <w:r>
              <w:rPr>
                <w:rFonts w:cstheme="minorHAnsi"/>
                <w:sz w:val="20"/>
                <w:szCs w:val="20"/>
              </w:rPr>
              <w:t xml:space="preserve">, </w:t>
            </w:r>
            <w:r w:rsidRPr="00997CAD">
              <w:rPr>
                <w:rFonts w:cstheme="minorHAnsi"/>
                <w:sz w:val="20"/>
                <w:szCs w:val="20"/>
              </w:rPr>
              <w:t>Sierra Leone</w:t>
            </w:r>
            <w:r>
              <w:rPr>
                <w:rFonts w:cstheme="minorHAnsi"/>
                <w:sz w:val="20"/>
                <w:szCs w:val="20"/>
              </w:rPr>
              <w:t xml:space="preserve">, </w:t>
            </w:r>
            <w:r w:rsidRPr="00997CAD">
              <w:rPr>
                <w:rFonts w:cstheme="minorHAnsi"/>
                <w:sz w:val="20"/>
                <w:szCs w:val="20"/>
              </w:rPr>
              <w:t>Somalia</w:t>
            </w:r>
            <w:r>
              <w:rPr>
                <w:rFonts w:cstheme="minorHAnsi"/>
                <w:sz w:val="20"/>
                <w:szCs w:val="20"/>
              </w:rPr>
              <w:t xml:space="preserve">, </w:t>
            </w:r>
            <w:r w:rsidRPr="00997CAD">
              <w:rPr>
                <w:rFonts w:cstheme="minorHAnsi"/>
                <w:sz w:val="20"/>
                <w:szCs w:val="20"/>
              </w:rPr>
              <w:t>South Africa</w:t>
            </w:r>
            <w:r>
              <w:rPr>
                <w:rFonts w:cstheme="minorHAnsi"/>
                <w:sz w:val="20"/>
                <w:szCs w:val="20"/>
              </w:rPr>
              <w:t xml:space="preserve">, </w:t>
            </w:r>
            <w:r w:rsidRPr="00997CAD">
              <w:rPr>
                <w:rFonts w:cstheme="minorHAnsi"/>
                <w:sz w:val="20"/>
                <w:szCs w:val="20"/>
              </w:rPr>
              <w:t>South Sudan</w:t>
            </w:r>
            <w:r>
              <w:rPr>
                <w:rFonts w:cstheme="minorHAnsi"/>
                <w:sz w:val="20"/>
                <w:szCs w:val="20"/>
              </w:rPr>
              <w:t xml:space="preserve">, </w:t>
            </w:r>
            <w:r w:rsidRPr="00997CAD">
              <w:rPr>
                <w:rFonts w:cstheme="minorHAnsi"/>
                <w:sz w:val="20"/>
                <w:szCs w:val="20"/>
              </w:rPr>
              <w:t>Sudan</w:t>
            </w:r>
            <w:r>
              <w:rPr>
                <w:rFonts w:cstheme="minorHAnsi"/>
                <w:sz w:val="20"/>
                <w:szCs w:val="20"/>
              </w:rPr>
              <w:t xml:space="preserve">, </w:t>
            </w:r>
            <w:r w:rsidRPr="00997CAD">
              <w:rPr>
                <w:rFonts w:cstheme="minorHAnsi"/>
                <w:sz w:val="20"/>
                <w:szCs w:val="20"/>
              </w:rPr>
              <w:t>Tanzania</w:t>
            </w:r>
            <w:r>
              <w:rPr>
                <w:rFonts w:cstheme="minorHAnsi"/>
                <w:sz w:val="20"/>
                <w:szCs w:val="20"/>
              </w:rPr>
              <w:t xml:space="preserve">, </w:t>
            </w:r>
            <w:r w:rsidRPr="00997CAD">
              <w:rPr>
                <w:rFonts w:cstheme="minorHAnsi"/>
                <w:sz w:val="20"/>
                <w:szCs w:val="20"/>
              </w:rPr>
              <w:t>Togo</w:t>
            </w:r>
            <w:r>
              <w:rPr>
                <w:rFonts w:cstheme="minorHAnsi"/>
                <w:sz w:val="20"/>
                <w:szCs w:val="20"/>
              </w:rPr>
              <w:t xml:space="preserve">, </w:t>
            </w:r>
            <w:r w:rsidRPr="00997CAD">
              <w:rPr>
                <w:rFonts w:cstheme="minorHAnsi"/>
                <w:sz w:val="20"/>
                <w:szCs w:val="20"/>
              </w:rPr>
              <w:t>Uganda</w:t>
            </w:r>
            <w:r>
              <w:rPr>
                <w:rFonts w:cstheme="minorHAnsi"/>
                <w:sz w:val="20"/>
                <w:szCs w:val="20"/>
              </w:rPr>
              <w:t xml:space="preserve">, </w:t>
            </w:r>
            <w:r w:rsidRPr="00997CAD">
              <w:rPr>
                <w:rFonts w:cstheme="minorHAnsi"/>
                <w:sz w:val="20"/>
                <w:szCs w:val="20"/>
              </w:rPr>
              <w:t>Zambia</w:t>
            </w:r>
            <w:r>
              <w:rPr>
                <w:rFonts w:cstheme="minorHAnsi"/>
                <w:sz w:val="20"/>
                <w:szCs w:val="20"/>
              </w:rPr>
              <w:t xml:space="preserve">, </w:t>
            </w:r>
            <w:r w:rsidRPr="00997CAD">
              <w:rPr>
                <w:rFonts w:cstheme="minorHAnsi"/>
                <w:sz w:val="20"/>
                <w:szCs w:val="20"/>
              </w:rPr>
              <w:t xml:space="preserve">Zimbabwe </w:t>
            </w:r>
          </w:p>
          <w:p w14:paraId="0DCBB1D5" w14:textId="0EED65AD" w:rsidR="00997CAD" w:rsidRPr="00D03CED" w:rsidRDefault="00997CAD" w:rsidP="00262904">
            <w:pPr>
              <w:spacing w:after="160" w:line="278" w:lineRule="auto"/>
              <w:rPr>
                <w:rFonts w:cstheme="minorHAnsi"/>
                <w:sz w:val="20"/>
                <w:szCs w:val="20"/>
              </w:rPr>
            </w:pPr>
          </w:p>
        </w:tc>
      </w:tr>
      <w:tr w:rsidR="00262904" w:rsidRPr="00D03CED" w14:paraId="7C1109A8" w14:textId="77777777" w:rsidTr="00262904">
        <w:tc>
          <w:tcPr>
            <w:tcW w:w="1615" w:type="dxa"/>
            <w:hideMark/>
          </w:tcPr>
          <w:p w14:paraId="61D086F1" w14:textId="77777777" w:rsidR="00262904" w:rsidRPr="00D03CED" w:rsidRDefault="00262904" w:rsidP="00262904">
            <w:pPr>
              <w:spacing w:after="160" w:line="278" w:lineRule="auto"/>
              <w:rPr>
                <w:rFonts w:cstheme="minorHAnsi"/>
                <w:b/>
                <w:bCs/>
                <w:sz w:val="20"/>
                <w:szCs w:val="20"/>
              </w:rPr>
            </w:pPr>
            <w:r w:rsidRPr="00D03CED">
              <w:rPr>
                <w:rFonts w:cstheme="minorHAnsi"/>
                <w:b/>
                <w:bCs/>
                <w:sz w:val="20"/>
                <w:szCs w:val="20"/>
              </w:rPr>
              <w:t>Intervention (I)</w:t>
            </w:r>
          </w:p>
        </w:tc>
        <w:tc>
          <w:tcPr>
            <w:tcW w:w="7401" w:type="dxa"/>
            <w:hideMark/>
          </w:tcPr>
          <w:p w14:paraId="17D5B1C1" w14:textId="77777777" w:rsidR="00262904" w:rsidRPr="00D03CED" w:rsidRDefault="00262904" w:rsidP="00262904">
            <w:pPr>
              <w:spacing w:after="160" w:line="278" w:lineRule="auto"/>
              <w:rPr>
                <w:rFonts w:cstheme="minorHAnsi"/>
                <w:sz w:val="20"/>
                <w:szCs w:val="20"/>
              </w:rPr>
            </w:pPr>
            <w:r w:rsidRPr="00D03CED">
              <w:rPr>
                <w:rFonts w:cstheme="minorHAnsi"/>
                <w:sz w:val="20"/>
                <w:szCs w:val="20"/>
              </w:rPr>
              <w:t>Pre-SNT interventions (2011–2018): LLINs, IRS, SMC, RDTs, IPT, and ACTs. Post-SNT interventions (2019–2025): Sub-National Tailoring (SNT) strategies under WHO’s HBHI initiative, involving stratified and context-specific mixes of existing interventions adapted to local epidemiological, demographic, and operational realities.</w:t>
            </w:r>
          </w:p>
        </w:tc>
      </w:tr>
      <w:tr w:rsidR="00262904" w:rsidRPr="00D03CED" w14:paraId="0F7C20F8" w14:textId="77777777" w:rsidTr="00262904">
        <w:tc>
          <w:tcPr>
            <w:tcW w:w="1615" w:type="dxa"/>
            <w:hideMark/>
          </w:tcPr>
          <w:p w14:paraId="34AC7C5A" w14:textId="77777777" w:rsidR="00262904" w:rsidRPr="00D03CED" w:rsidRDefault="00262904" w:rsidP="00262904">
            <w:pPr>
              <w:spacing w:after="160" w:line="278" w:lineRule="auto"/>
              <w:rPr>
                <w:rFonts w:cstheme="minorHAnsi"/>
                <w:b/>
                <w:bCs/>
                <w:sz w:val="20"/>
                <w:szCs w:val="20"/>
              </w:rPr>
            </w:pPr>
            <w:r w:rsidRPr="00D03CED">
              <w:rPr>
                <w:rFonts w:cstheme="minorHAnsi"/>
                <w:b/>
                <w:bCs/>
                <w:sz w:val="20"/>
                <w:szCs w:val="20"/>
              </w:rPr>
              <w:t>Comparison (C)</w:t>
            </w:r>
          </w:p>
        </w:tc>
        <w:tc>
          <w:tcPr>
            <w:tcW w:w="7401" w:type="dxa"/>
            <w:hideMark/>
          </w:tcPr>
          <w:p w14:paraId="582B4829" w14:textId="77777777" w:rsidR="00262904" w:rsidRPr="00D03CED" w:rsidRDefault="00262904" w:rsidP="00262904">
            <w:pPr>
              <w:spacing w:after="160" w:line="278" w:lineRule="auto"/>
              <w:rPr>
                <w:rFonts w:cstheme="minorHAnsi"/>
                <w:sz w:val="20"/>
                <w:szCs w:val="20"/>
              </w:rPr>
            </w:pPr>
            <w:r w:rsidRPr="00D03CED">
              <w:rPr>
                <w:rFonts w:cstheme="minorHAnsi"/>
                <w:sz w:val="20"/>
                <w:szCs w:val="20"/>
              </w:rPr>
              <w:t>Uniform national strategies implemented during the pre-SNT period (2011–2018) compared with stratified, sub-nationally tailored approaches in the post-SNT period (2019–2025). Studies conceptualized or initiated before 2018 but published later are classified as pre-SNT to avoid misclassification bias.</w:t>
            </w:r>
          </w:p>
        </w:tc>
      </w:tr>
      <w:tr w:rsidR="00262904" w:rsidRPr="00D03CED" w14:paraId="60DCBDA8" w14:textId="77777777" w:rsidTr="00262904">
        <w:tc>
          <w:tcPr>
            <w:tcW w:w="1615" w:type="dxa"/>
            <w:hideMark/>
          </w:tcPr>
          <w:p w14:paraId="280975EE" w14:textId="77777777" w:rsidR="00262904" w:rsidRPr="00D03CED" w:rsidRDefault="00262904" w:rsidP="00262904">
            <w:pPr>
              <w:spacing w:after="160" w:line="278" w:lineRule="auto"/>
              <w:rPr>
                <w:rFonts w:cstheme="minorHAnsi"/>
                <w:b/>
                <w:bCs/>
                <w:sz w:val="20"/>
                <w:szCs w:val="20"/>
              </w:rPr>
            </w:pPr>
            <w:r w:rsidRPr="00D03CED">
              <w:rPr>
                <w:rFonts w:cstheme="minorHAnsi"/>
                <w:b/>
                <w:bCs/>
                <w:sz w:val="20"/>
                <w:szCs w:val="20"/>
              </w:rPr>
              <w:t>Outcome (O)</w:t>
            </w:r>
          </w:p>
        </w:tc>
        <w:tc>
          <w:tcPr>
            <w:tcW w:w="7401" w:type="dxa"/>
            <w:hideMark/>
          </w:tcPr>
          <w:p w14:paraId="0DFDE8E8" w14:textId="77777777" w:rsidR="00262904" w:rsidRPr="00D03CED" w:rsidRDefault="00262904" w:rsidP="00262904">
            <w:pPr>
              <w:spacing w:after="160" w:line="278" w:lineRule="auto"/>
              <w:rPr>
                <w:rFonts w:cstheme="minorHAnsi"/>
                <w:sz w:val="20"/>
                <w:szCs w:val="20"/>
              </w:rPr>
            </w:pPr>
            <w:r w:rsidRPr="00D03CED">
              <w:rPr>
                <w:rFonts w:cstheme="minorHAnsi"/>
                <w:sz w:val="20"/>
                <w:szCs w:val="20"/>
              </w:rPr>
              <w:t>Primary outcomes: malaria incidence, prevalence, parasitemia rates, test positivity rates, and malaria-attributable mortality. Secondary outcomes: anaemia prevalence, entomological indices (vector density, transmission intensity), and indicators of improved resource allocation and operational efficiency.</w:t>
            </w:r>
          </w:p>
        </w:tc>
      </w:tr>
    </w:tbl>
    <w:p w14:paraId="432E582C" w14:textId="77777777" w:rsidR="00262904" w:rsidRPr="00D03CED" w:rsidRDefault="00262904">
      <w:pPr>
        <w:rPr>
          <w:rFonts w:cstheme="minorHAnsi"/>
          <w:b/>
          <w:bCs/>
          <w:sz w:val="20"/>
          <w:szCs w:val="20"/>
          <w:lang w:val="en-US"/>
        </w:rPr>
      </w:pPr>
    </w:p>
    <w:p w14:paraId="796CF288" w14:textId="4D86B082" w:rsidR="00010DAA" w:rsidRPr="00D03CED" w:rsidRDefault="00010DAA">
      <w:pPr>
        <w:rPr>
          <w:rFonts w:cstheme="minorHAnsi"/>
          <w:b/>
          <w:bCs/>
          <w:sz w:val="20"/>
          <w:szCs w:val="20"/>
        </w:rPr>
      </w:pPr>
      <w:r w:rsidRPr="00D03CED">
        <w:rPr>
          <w:rFonts w:cstheme="minorHAnsi"/>
          <w:b/>
          <w:bCs/>
          <w:sz w:val="20"/>
          <w:szCs w:val="20"/>
          <w:lang w:val="en-US"/>
        </w:rPr>
        <w:br w:type="page"/>
      </w:r>
    </w:p>
    <w:p w14:paraId="3A7C7D8C" w14:textId="00E8C76C" w:rsidR="00010DAA" w:rsidRPr="00D03CED" w:rsidRDefault="00010DAA" w:rsidP="00010DAA">
      <w:pPr>
        <w:rPr>
          <w:rFonts w:cstheme="minorHAnsi"/>
          <w:b/>
          <w:bCs/>
          <w:sz w:val="20"/>
          <w:szCs w:val="20"/>
        </w:rPr>
      </w:pPr>
      <w:r w:rsidRPr="00D03CED">
        <w:rPr>
          <w:rFonts w:cstheme="minorHAnsi"/>
          <w:b/>
          <w:bCs/>
          <w:sz w:val="20"/>
          <w:szCs w:val="20"/>
          <w:lang w:val="en-US"/>
        </w:rPr>
        <w:lastRenderedPageBreak/>
        <w:t>Table A</w:t>
      </w:r>
      <w:r w:rsidR="00CE286B">
        <w:rPr>
          <w:rFonts w:cstheme="minorHAnsi"/>
          <w:b/>
          <w:bCs/>
          <w:sz w:val="20"/>
          <w:szCs w:val="20"/>
          <w:lang w:val="en-US"/>
        </w:rPr>
        <w:t>2</w:t>
      </w:r>
      <w:r w:rsidRPr="00D03CED">
        <w:rPr>
          <w:rFonts w:cstheme="minorHAnsi"/>
          <w:b/>
          <w:bCs/>
          <w:sz w:val="20"/>
          <w:szCs w:val="20"/>
          <w:lang w:val="en-US"/>
        </w:rPr>
        <w:t>.</w:t>
      </w:r>
      <w:r w:rsidRPr="00D03CED">
        <w:rPr>
          <w:rFonts w:cstheme="minorHAnsi"/>
          <w:b/>
          <w:bCs/>
          <w:sz w:val="20"/>
          <w:szCs w:val="20"/>
        </w:rPr>
        <w:t xml:space="preserve"> </w:t>
      </w:r>
      <w:r w:rsidRPr="00CE286B">
        <w:rPr>
          <w:rFonts w:cstheme="minorHAnsi"/>
          <w:sz w:val="20"/>
          <w:szCs w:val="20"/>
        </w:rPr>
        <w:t>Literature Search Strategy Framework</w:t>
      </w:r>
    </w:p>
    <w:tbl>
      <w:tblPr>
        <w:tblStyle w:val="TableGrid"/>
        <w:tblW w:w="0" w:type="auto"/>
        <w:tblLook w:val="04A0" w:firstRow="1" w:lastRow="0" w:firstColumn="1" w:lastColumn="0" w:noHBand="0" w:noVBand="1"/>
      </w:tblPr>
      <w:tblGrid>
        <w:gridCol w:w="1789"/>
        <w:gridCol w:w="7227"/>
      </w:tblGrid>
      <w:tr w:rsidR="00010DAA" w:rsidRPr="00D03CED" w14:paraId="4B402EC8" w14:textId="77777777" w:rsidTr="00010DAA">
        <w:tc>
          <w:tcPr>
            <w:tcW w:w="0" w:type="auto"/>
            <w:hideMark/>
          </w:tcPr>
          <w:p w14:paraId="54E92C50" w14:textId="77777777" w:rsidR="00010DAA" w:rsidRPr="00D03CED" w:rsidRDefault="00010DAA" w:rsidP="00010DAA">
            <w:pPr>
              <w:spacing w:after="160" w:line="278" w:lineRule="auto"/>
              <w:rPr>
                <w:rFonts w:cstheme="minorHAnsi"/>
                <w:b/>
                <w:bCs/>
                <w:sz w:val="20"/>
                <w:szCs w:val="20"/>
              </w:rPr>
            </w:pPr>
            <w:r w:rsidRPr="00D03CED">
              <w:rPr>
                <w:rFonts w:cstheme="minorHAnsi"/>
                <w:b/>
                <w:bCs/>
                <w:sz w:val="20"/>
                <w:szCs w:val="20"/>
              </w:rPr>
              <w:t>Category</w:t>
            </w:r>
          </w:p>
        </w:tc>
        <w:tc>
          <w:tcPr>
            <w:tcW w:w="0" w:type="auto"/>
            <w:hideMark/>
          </w:tcPr>
          <w:p w14:paraId="1055EBB5" w14:textId="77777777" w:rsidR="00010DAA" w:rsidRPr="00D03CED" w:rsidRDefault="00010DAA" w:rsidP="00010DAA">
            <w:pPr>
              <w:spacing w:after="160" w:line="278" w:lineRule="auto"/>
              <w:rPr>
                <w:rFonts w:cstheme="minorHAnsi"/>
                <w:b/>
                <w:bCs/>
                <w:sz w:val="20"/>
                <w:szCs w:val="20"/>
              </w:rPr>
            </w:pPr>
            <w:r w:rsidRPr="00D03CED">
              <w:rPr>
                <w:rFonts w:cstheme="minorHAnsi"/>
                <w:b/>
                <w:bCs/>
                <w:sz w:val="20"/>
                <w:szCs w:val="20"/>
              </w:rPr>
              <w:t>Details</w:t>
            </w:r>
          </w:p>
        </w:tc>
      </w:tr>
      <w:tr w:rsidR="00010DAA" w:rsidRPr="00D03CED" w14:paraId="0896E581" w14:textId="77777777" w:rsidTr="00010DAA">
        <w:tc>
          <w:tcPr>
            <w:tcW w:w="0" w:type="auto"/>
            <w:hideMark/>
          </w:tcPr>
          <w:p w14:paraId="784F990D"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Databases searched</w:t>
            </w:r>
          </w:p>
        </w:tc>
        <w:tc>
          <w:tcPr>
            <w:tcW w:w="0" w:type="auto"/>
            <w:hideMark/>
          </w:tcPr>
          <w:p w14:paraId="20AF853B"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PubMed/MEDLINE, Embase, Web of Science Core Collection, Scopus, Cochrane CENTRAL</w:t>
            </w:r>
          </w:p>
        </w:tc>
      </w:tr>
      <w:tr w:rsidR="00010DAA" w:rsidRPr="00D03CED" w14:paraId="3020A91B" w14:textId="77777777" w:rsidTr="00010DAA">
        <w:tc>
          <w:tcPr>
            <w:tcW w:w="0" w:type="auto"/>
            <w:hideMark/>
          </w:tcPr>
          <w:p w14:paraId="1FEF3AC4"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Timeframe</w:t>
            </w:r>
          </w:p>
        </w:tc>
        <w:tc>
          <w:tcPr>
            <w:tcW w:w="0" w:type="auto"/>
            <w:hideMark/>
          </w:tcPr>
          <w:p w14:paraId="37AE2DD2"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October 2011 – October 2025</w:t>
            </w:r>
          </w:p>
        </w:tc>
      </w:tr>
      <w:tr w:rsidR="00010DAA" w:rsidRPr="00D03CED" w14:paraId="0BA8E5EC" w14:textId="77777777" w:rsidTr="00010DAA">
        <w:tc>
          <w:tcPr>
            <w:tcW w:w="0" w:type="auto"/>
            <w:hideMark/>
          </w:tcPr>
          <w:p w14:paraId="70044626"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Language restriction</w:t>
            </w:r>
          </w:p>
        </w:tc>
        <w:tc>
          <w:tcPr>
            <w:tcW w:w="0" w:type="auto"/>
            <w:hideMark/>
          </w:tcPr>
          <w:p w14:paraId="6F041BBC"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English only</w:t>
            </w:r>
          </w:p>
        </w:tc>
      </w:tr>
      <w:tr w:rsidR="00010DAA" w:rsidRPr="00D03CED" w14:paraId="17E25499" w14:textId="77777777" w:rsidTr="00010DAA">
        <w:tc>
          <w:tcPr>
            <w:tcW w:w="0" w:type="auto"/>
            <w:hideMark/>
          </w:tcPr>
          <w:p w14:paraId="6989547E"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Population scope</w:t>
            </w:r>
          </w:p>
        </w:tc>
        <w:tc>
          <w:tcPr>
            <w:tcW w:w="0" w:type="auto"/>
            <w:hideMark/>
          </w:tcPr>
          <w:p w14:paraId="547B43BC"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Human studies in sub-Saharan Africa</w:t>
            </w:r>
          </w:p>
        </w:tc>
      </w:tr>
      <w:tr w:rsidR="00010DAA" w:rsidRPr="00D03CED" w14:paraId="1639AE2C" w14:textId="77777777" w:rsidTr="00010DAA">
        <w:tc>
          <w:tcPr>
            <w:tcW w:w="0" w:type="auto"/>
            <w:hideMark/>
          </w:tcPr>
          <w:p w14:paraId="60D42821"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Concept domains (Boolean logic)</w:t>
            </w:r>
          </w:p>
        </w:tc>
        <w:tc>
          <w:tcPr>
            <w:tcW w:w="0" w:type="auto"/>
            <w:hideMark/>
          </w:tcPr>
          <w:p w14:paraId="46145CD2"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1. Malaria 2. Malaria interventions 3. Comparative study designs 4. Geographic focus</w:t>
            </w:r>
          </w:p>
        </w:tc>
      </w:tr>
      <w:tr w:rsidR="00010DAA" w:rsidRPr="00D03CED" w14:paraId="648BFF0E" w14:textId="77777777" w:rsidTr="00010DAA">
        <w:tc>
          <w:tcPr>
            <w:tcW w:w="0" w:type="auto"/>
            <w:hideMark/>
          </w:tcPr>
          <w:p w14:paraId="3DDB8535"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Malaria terms</w:t>
            </w:r>
          </w:p>
        </w:tc>
        <w:tc>
          <w:tcPr>
            <w:tcW w:w="0" w:type="auto"/>
            <w:hideMark/>
          </w:tcPr>
          <w:p w14:paraId="29921713"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MeSH: “Malaria,” “Plasmodium falciparum,” “Plasmodium vivax”; Free-text: malaria, Plasmodium</w:t>
            </w:r>
          </w:p>
        </w:tc>
      </w:tr>
      <w:tr w:rsidR="00010DAA" w:rsidRPr="00D03CED" w14:paraId="6CD28891" w14:textId="77777777" w:rsidTr="00010DAA">
        <w:tc>
          <w:tcPr>
            <w:tcW w:w="0" w:type="auto"/>
            <w:hideMark/>
          </w:tcPr>
          <w:p w14:paraId="69C49D0A"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Intervention terms</w:t>
            </w:r>
          </w:p>
        </w:tc>
        <w:tc>
          <w:tcPr>
            <w:tcW w:w="0" w:type="auto"/>
            <w:hideMark/>
          </w:tcPr>
          <w:p w14:paraId="36C98A7C"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MeSH/Emtree: “Malaria Control,” “Malaria Prevention,” “Insecticide-Treated Bednets,” “Indoor Residual Spraying,” “Seasonal Malaria Chemoprevention,” “Intermittent Preventive Treatment,” “Artemisinin-Based Combination Therapy”; Free-text: LLIN, ITN, IRS, SMC, IPTp, IPTi, ACT, vector control, case management, surveillance, integrated malaria intervention</w:t>
            </w:r>
          </w:p>
        </w:tc>
      </w:tr>
      <w:tr w:rsidR="00010DAA" w:rsidRPr="00D03CED" w14:paraId="18808166" w14:textId="77777777" w:rsidTr="00010DAA">
        <w:tc>
          <w:tcPr>
            <w:tcW w:w="0" w:type="auto"/>
            <w:hideMark/>
          </w:tcPr>
          <w:p w14:paraId="63CE147D"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Study design filter</w:t>
            </w:r>
          </w:p>
        </w:tc>
        <w:tc>
          <w:tcPr>
            <w:tcW w:w="0" w:type="auto"/>
            <w:hideMark/>
          </w:tcPr>
          <w:p w14:paraId="73F4FC50"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Keywords: “Randomized Controlled Trial,” “Controlled Clinical Trial,” randomized, trial, quasi-experimental, controlled before-after, interrupted time series, compar, evaluat, effectiveness</w:t>
            </w:r>
          </w:p>
        </w:tc>
      </w:tr>
      <w:tr w:rsidR="00010DAA" w:rsidRPr="00D03CED" w14:paraId="1138F86C" w14:textId="77777777" w:rsidTr="00010DAA">
        <w:tc>
          <w:tcPr>
            <w:tcW w:w="0" w:type="auto"/>
            <w:hideMark/>
          </w:tcPr>
          <w:p w14:paraId="14F0F51B"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Geographic scope</w:t>
            </w:r>
          </w:p>
        </w:tc>
        <w:tc>
          <w:tcPr>
            <w:tcW w:w="0" w:type="auto"/>
            <w:hideMark/>
          </w:tcPr>
          <w:p w14:paraId="7AF7D87C"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Indexed: “Africa South of the Sahara”; Free-text: “Sub-Saharan Africa” + country names (Nigeria, Ghana, Kenya, Tanzania, Uganda, Ethiopia, Rwanda, Malawi, Senegal, Mali, Burkina Faso, Niger, Cameroon, DRC, Zambia, Mozambique)</w:t>
            </w:r>
          </w:p>
        </w:tc>
      </w:tr>
      <w:tr w:rsidR="00010DAA" w:rsidRPr="00D03CED" w14:paraId="03CBCF60" w14:textId="77777777" w:rsidTr="00010DAA">
        <w:tc>
          <w:tcPr>
            <w:tcW w:w="0" w:type="auto"/>
            <w:hideMark/>
          </w:tcPr>
          <w:p w14:paraId="519F05F3"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Database syntax adaptations</w:t>
            </w:r>
          </w:p>
        </w:tc>
        <w:tc>
          <w:tcPr>
            <w:tcW w:w="0" w:type="auto"/>
            <w:hideMark/>
          </w:tcPr>
          <w:p w14:paraId="5CB41664"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PubMed: MeSH terms; Embase: Emtree terms; Web of Science/Scopus: title–abstract–keyword fields; truncation, phrase searching, proximity operators applied</w:t>
            </w:r>
          </w:p>
        </w:tc>
      </w:tr>
      <w:tr w:rsidR="00010DAA" w:rsidRPr="00D03CED" w14:paraId="3746EB77" w14:textId="77777777" w:rsidTr="00010DAA">
        <w:tc>
          <w:tcPr>
            <w:tcW w:w="0" w:type="auto"/>
            <w:hideMark/>
          </w:tcPr>
          <w:p w14:paraId="3CDF4F92"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Filters applied</w:t>
            </w:r>
          </w:p>
        </w:tc>
        <w:tc>
          <w:tcPr>
            <w:tcW w:w="0" w:type="auto"/>
            <w:hideMark/>
          </w:tcPr>
          <w:p w14:paraId="5DFC68A2"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Human studies, language (English), publication date (2011–2025)</w:t>
            </w:r>
          </w:p>
        </w:tc>
      </w:tr>
      <w:tr w:rsidR="00010DAA" w:rsidRPr="00D03CED" w14:paraId="6044A68F" w14:textId="77777777" w:rsidTr="00010DAA">
        <w:tc>
          <w:tcPr>
            <w:tcW w:w="0" w:type="auto"/>
            <w:hideMark/>
          </w:tcPr>
          <w:p w14:paraId="36C3FB30"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Data management</w:t>
            </w:r>
          </w:p>
        </w:tc>
        <w:tc>
          <w:tcPr>
            <w:tcW w:w="0" w:type="auto"/>
            <w:hideMark/>
          </w:tcPr>
          <w:p w14:paraId="17883ACE"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Records downloaded into single folder, duplicates removed</w:t>
            </w:r>
          </w:p>
        </w:tc>
      </w:tr>
      <w:tr w:rsidR="00010DAA" w:rsidRPr="00D03CED" w14:paraId="68C4573E" w14:textId="77777777" w:rsidTr="00010DAA">
        <w:tc>
          <w:tcPr>
            <w:tcW w:w="0" w:type="auto"/>
            <w:hideMark/>
          </w:tcPr>
          <w:p w14:paraId="44B69EDB"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Completeness checks</w:t>
            </w:r>
          </w:p>
        </w:tc>
        <w:tc>
          <w:tcPr>
            <w:tcW w:w="0" w:type="auto"/>
            <w:hideMark/>
          </w:tcPr>
          <w:p w14:paraId="2CF90868"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Manual screening of reference lists, forward citation tracking in Web of Science</w:t>
            </w:r>
          </w:p>
        </w:tc>
      </w:tr>
      <w:tr w:rsidR="00010DAA" w:rsidRPr="00D03CED" w14:paraId="620698B1" w14:textId="77777777" w:rsidTr="00010DAA">
        <w:tc>
          <w:tcPr>
            <w:tcW w:w="0" w:type="auto"/>
            <w:hideMark/>
          </w:tcPr>
          <w:p w14:paraId="4F53E114"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Exclusions</w:t>
            </w:r>
          </w:p>
        </w:tc>
        <w:tc>
          <w:tcPr>
            <w:tcW w:w="0" w:type="auto"/>
            <w:hideMark/>
          </w:tcPr>
          <w:p w14:paraId="5FEEAA42" w14:textId="77777777" w:rsidR="00010DAA" w:rsidRPr="00D03CED" w:rsidRDefault="00010DAA" w:rsidP="00010DAA">
            <w:pPr>
              <w:spacing w:after="160" w:line="278" w:lineRule="auto"/>
              <w:rPr>
                <w:rFonts w:cstheme="minorHAnsi"/>
                <w:sz w:val="20"/>
                <w:szCs w:val="20"/>
              </w:rPr>
            </w:pPr>
            <w:r w:rsidRPr="00D03CED">
              <w:rPr>
                <w:rFonts w:cstheme="minorHAnsi"/>
                <w:sz w:val="20"/>
                <w:szCs w:val="20"/>
              </w:rPr>
              <w:t>Grey literature excluded (requirement for peer-reviewed comparative designs)</w:t>
            </w:r>
          </w:p>
        </w:tc>
      </w:tr>
      <w:tr w:rsidR="00010DAA" w:rsidRPr="00D03CED" w14:paraId="40640600" w14:textId="77777777" w:rsidTr="00010DAA">
        <w:tc>
          <w:tcPr>
            <w:tcW w:w="0" w:type="auto"/>
            <w:hideMark/>
          </w:tcPr>
          <w:p w14:paraId="321C9BAA" w14:textId="77777777" w:rsidR="00010DAA" w:rsidRPr="00D03CED" w:rsidRDefault="00010DAA" w:rsidP="00010DAA">
            <w:pPr>
              <w:spacing w:after="160" w:line="278" w:lineRule="auto"/>
              <w:rPr>
                <w:rFonts w:cstheme="minorHAnsi"/>
                <w:sz w:val="20"/>
                <w:szCs w:val="20"/>
              </w:rPr>
            </w:pPr>
            <w:r w:rsidRPr="00D03CED">
              <w:rPr>
                <w:rFonts w:cstheme="minorHAnsi"/>
                <w:b/>
                <w:bCs/>
                <w:sz w:val="20"/>
                <w:szCs w:val="20"/>
              </w:rPr>
              <w:t>Documentation</w:t>
            </w:r>
          </w:p>
        </w:tc>
        <w:tc>
          <w:tcPr>
            <w:tcW w:w="0" w:type="auto"/>
            <w:hideMark/>
          </w:tcPr>
          <w:p w14:paraId="0E8C88AD" w14:textId="22A7F50B" w:rsidR="00010DAA" w:rsidRPr="00D03CED" w:rsidRDefault="00010DAA" w:rsidP="00010DAA">
            <w:pPr>
              <w:spacing w:after="160" w:line="278" w:lineRule="auto"/>
              <w:rPr>
                <w:rFonts w:cstheme="minorHAnsi"/>
                <w:sz w:val="20"/>
                <w:szCs w:val="20"/>
              </w:rPr>
            </w:pPr>
            <w:r w:rsidRPr="00D03CED">
              <w:rPr>
                <w:rFonts w:cstheme="minorHAnsi"/>
                <w:sz w:val="20"/>
                <w:szCs w:val="20"/>
              </w:rPr>
              <w:t xml:space="preserve">All search strings, syntax adaptations, dates, and retrieval </w:t>
            </w:r>
            <w:r w:rsidR="00806535" w:rsidRPr="00D03CED">
              <w:rPr>
                <w:rFonts w:cstheme="minorHAnsi"/>
                <w:sz w:val="20"/>
                <w:szCs w:val="20"/>
              </w:rPr>
              <w:t>count</w:t>
            </w:r>
            <w:r w:rsidRPr="00D03CED">
              <w:rPr>
                <w:rFonts w:cstheme="minorHAnsi"/>
                <w:sz w:val="20"/>
                <w:szCs w:val="20"/>
              </w:rPr>
              <w:t xml:space="preserve"> archived for transparency and reproducibility</w:t>
            </w:r>
          </w:p>
        </w:tc>
      </w:tr>
    </w:tbl>
    <w:p w14:paraId="7C148DDB" w14:textId="0CA5BBDE" w:rsidR="009238B0" w:rsidRDefault="009238B0">
      <w:pPr>
        <w:rPr>
          <w:rFonts w:cstheme="minorHAnsi"/>
          <w:sz w:val="20"/>
          <w:szCs w:val="20"/>
          <w:lang w:val="en-US"/>
        </w:rPr>
      </w:pPr>
    </w:p>
    <w:p w14:paraId="4D24E866" w14:textId="77777777" w:rsidR="009238B0" w:rsidRDefault="009238B0">
      <w:pPr>
        <w:rPr>
          <w:rFonts w:cstheme="minorHAnsi"/>
          <w:sz w:val="20"/>
          <w:szCs w:val="20"/>
          <w:lang w:val="en-US"/>
        </w:rPr>
      </w:pPr>
      <w:r>
        <w:rPr>
          <w:rFonts w:cstheme="minorHAnsi"/>
          <w:sz w:val="20"/>
          <w:szCs w:val="20"/>
          <w:lang w:val="en-US"/>
        </w:rPr>
        <w:br w:type="page"/>
      </w:r>
    </w:p>
    <w:p w14:paraId="1A5A135E" w14:textId="7236A7C3" w:rsidR="00AD1603" w:rsidRDefault="009238B0">
      <w:pPr>
        <w:rPr>
          <w:rFonts w:cstheme="minorHAnsi"/>
          <w:sz w:val="20"/>
          <w:szCs w:val="20"/>
          <w:lang w:val="en-US"/>
        </w:rPr>
      </w:pPr>
      <w:r>
        <w:rPr>
          <w:rFonts w:cstheme="minorHAnsi"/>
          <w:noProof/>
          <w:sz w:val="20"/>
          <w:szCs w:val="20"/>
          <w:lang w:val="en-US"/>
        </w:rPr>
        <w:lastRenderedPageBreak/>
        <w:drawing>
          <wp:inline distT="0" distB="0" distL="0" distR="0" wp14:anchorId="4E1F9734" wp14:editId="2BA2CF69">
            <wp:extent cx="5753730" cy="6964326"/>
            <wp:effectExtent l="0" t="0" r="0" b="8255"/>
            <wp:docPr id="573331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8452" cy="6982145"/>
                    </a:xfrm>
                    <a:prstGeom prst="rect">
                      <a:avLst/>
                    </a:prstGeom>
                    <a:noFill/>
                  </pic:spPr>
                </pic:pic>
              </a:graphicData>
            </a:graphic>
          </wp:inline>
        </w:drawing>
      </w:r>
    </w:p>
    <w:p w14:paraId="0346BF6D" w14:textId="17F5F403" w:rsidR="009238B0" w:rsidRDefault="009238B0" w:rsidP="009238B0">
      <w:pPr>
        <w:jc w:val="both"/>
        <w:rPr>
          <w:rFonts w:cstheme="minorHAnsi"/>
          <w:sz w:val="20"/>
          <w:szCs w:val="20"/>
        </w:rPr>
      </w:pPr>
      <w:r w:rsidRPr="009238B0">
        <w:rPr>
          <w:rFonts w:cstheme="minorHAnsi"/>
          <w:b/>
          <w:bCs/>
          <w:sz w:val="20"/>
          <w:szCs w:val="20"/>
        </w:rPr>
        <w:t xml:space="preserve">Figure </w:t>
      </w:r>
      <w:r>
        <w:rPr>
          <w:rFonts w:cstheme="minorHAnsi"/>
          <w:b/>
          <w:bCs/>
          <w:sz w:val="20"/>
          <w:szCs w:val="20"/>
        </w:rPr>
        <w:t>A1</w:t>
      </w:r>
      <w:r w:rsidRPr="009238B0">
        <w:rPr>
          <w:rFonts w:cstheme="minorHAnsi"/>
          <w:b/>
          <w:bCs/>
          <w:sz w:val="20"/>
          <w:szCs w:val="20"/>
        </w:rPr>
        <w:t xml:space="preserve">. </w:t>
      </w:r>
      <w:r w:rsidRPr="004C2D43">
        <w:rPr>
          <w:rFonts w:cstheme="minorHAnsi"/>
          <w:sz w:val="20"/>
          <w:szCs w:val="20"/>
        </w:rPr>
        <w:t>Funnel plots assessing publication bias across intervention domains (chemoprevention/treatment and vector control).</w:t>
      </w:r>
      <w:r>
        <w:rPr>
          <w:rFonts w:cstheme="minorHAnsi"/>
          <w:sz w:val="20"/>
          <w:szCs w:val="20"/>
        </w:rPr>
        <w:t xml:space="preserve"> </w:t>
      </w:r>
      <w:r w:rsidRPr="009238B0">
        <w:rPr>
          <w:rFonts w:cstheme="minorHAnsi"/>
          <w:i/>
          <w:iCs/>
          <w:sz w:val="20"/>
          <w:szCs w:val="20"/>
        </w:rPr>
        <w:t>Funnel plots of individual study effect sizes against their standard errors for (A) chemoprevention and treatment interventions and (B) vector control interventions. The vertical solid line represents the pooled effect estimate, while the diagonal lines indicate the pseudo 95% confidence limits around the summary effect. Each point corresponds to an individual study. Symmetry around the pooled effect suggests low risk of publication bias, whereas asymmetry may indicate small-study effects or selective reporting. In Panel A, mild asymmetry is observed alongside wide dispersion, consistent with substantial between-study heterogeneity. Panel B shows relatively greater symmetry, although the wide spread of studies reflects high heterogeneity across settings.</w:t>
      </w:r>
    </w:p>
    <w:p w14:paraId="0838D94D" w14:textId="77777777" w:rsidR="004C2D43" w:rsidRDefault="004C2D43" w:rsidP="009238B0">
      <w:pPr>
        <w:jc w:val="both"/>
        <w:rPr>
          <w:rFonts w:cstheme="minorHAnsi"/>
          <w:b/>
          <w:bCs/>
          <w:sz w:val="20"/>
          <w:szCs w:val="20"/>
        </w:rPr>
      </w:pPr>
    </w:p>
    <w:p w14:paraId="60A64DE1" w14:textId="0FA834CF" w:rsidR="004C2D43" w:rsidRDefault="004C2D43" w:rsidP="004C2D43">
      <w:pPr>
        <w:spacing w:after="0"/>
        <w:jc w:val="both"/>
        <w:rPr>
          <w:rFonts w:cstheme="minorHAnsi"/>
          <w:b/>
          <w:bCs/>
          <w:sz w:val="20"/>
          <w:szCs w:val="20"/>
        </w:rPr>
      </w:pPr>
      <w:r>
        <w:rPr>
          <w:rFonts w:cstheme="minorHAnsi"/>
          <w:b/>
          <w:bCs/>
          <w:noProof/>
          <w:sz w:val="20"/>
          <w:szCs w:val="20"/>
        </w:rPr>
        <w:lastRenderedPageBreak/>
        <w:drawing>
          <wp:inline distT="0" distB="0" distL="0" distR="0" wp14:anchorId="5EDAE002" wp14:editId="529C83D3">
            <wp:extent cx="5688419" cy="7786574"/>
            <wp:effectExtent l="0" t="0" r="7620" b="5080"/>
            <wp:docPr id="4516965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2662" cy="7792382"/>
                    </a:xfrm>
                    <a:prstGeom prst="rect">
                      <a:avLst/>
                    </a:prstGeom>
                    <a:noFill/>
                    <a:ln>
                      <a:noFill/>
                    </a:ln>
                  </pic:spPr>
                </pic:pic>
              </a:graphicData>
            </a:graphic>
          </wp:inline>
        </w:drawing>
      </w:r>
    </w:p>
    <w:p w14:paraId="3A814A6B" w14:textId="07F517FF" w:rsidR="004C2D43" w:rsidRDefault="004C2D43" w:rsidP="009238B0">
      <w:pPr>
        <w:jc w:val="both"/>
        <w:rPr>
          <w:rFonts w:cstheme="minorHAnsi"/>
          <w:sz w:val="20"/>
          <w:szCs w:val="20"/>
        </w:rPr>
      </w:pPr>
      <w:r w:rsidRPr="004C2D43">
        <w:rPr>
          <w:rFonts w:cstheme="minorHAnsi"/>
          <w:b/>
          <w:bCs/>
          <w:sz w:val="20"/>
          <w:szCs w:val="20"/>
        </w:rPr>
        <w:t xml:space="preserve">Figure </w:t>
      </w:r>
      <w:r>
        <w:rPr>
          <w:rFonts w:cstheme="minorHAnsi"/>
          <w:b/>
          <w:bCs/>
          <w:sz w:val="20"/>
          <w:szCs w:val="20"/>
        </w:rPr>
        <w:t>A2</w:t>
      </w:r>
      <w:r w:rsidRPr="004C2D43">
        <w:rPr>
          <w:rFonts w:cstheme="minorHAnsi"/>
          <w:b/>
          <w:bCs/>
          <w:sz w:val="20"/>
          <w:szCs w:val="20"/>
        </w:rPr>
        <w:t xml:space="preserve">. </w:t>
      </w:r>
      <w:r w:rsidRPr="004C2D43">
        <w:rPr>
          <w:rFonts w:cstheme="minorHAnsi"/>
          <w:sz w:val="20"/>
          <w:szCs w:val="20"/>
        </w:rPr>
        <w:t>Funnel plots assessing publication bias across intervention domains (</w:t>
      </w:r>
      <w:proofErr w:type="spellStart"/>
      <w:r w:rsidRPr="004C2D43">
        <w:rPr>
          <w:rFonts w:cstheme="minorHAnsi"/>
          <w:sz w:val="20"/>
          <w:szCs w:val="20"/>
        </w:rPr>
        <w:t>behavioral</w:t>
      </w:r>
      <w:proofErr w:type="spellEnd"/>
      <w:r w:rsidRPr="004C2D43">
        <w:rPr>
          <w:rFonts w:cstheme="minorHAnsi"/>
          <w:sz w:val="20"/>
          <w:szCs w:val="20"/>
        </w:rPr>
        <w:t>/coverage and epidemiological outcomes).</w:t>
      </w:r>
      <w:r>
        <w:rPr>
          <w:rFonts w:cstheme="minorHAnsi"/>
          <w:sz w:val="20"/>
          <w:szCs w:val="20"/>
        </w:rPr>
        <w:t xml:space="preserve"> </w:t>
      </w:r>
      <w:r w:rsidRPr="004C2D43">
        <w:rPr>
          <w:rFonts w:cstheme="minorHAnsi"/>
          <w:i/>
          <w:iCs/>
          <w:sz w:val="20"/>
          <w:szCs w:val="20"/>
        </w:rPr>
        <w:t xml:space="preserve">Funnel plots of individual study effect sizes against their standard errors for (C) </w:t>
      </w:r>
      <w:proofErr w:type="spellStart"/>
      <w:r w:rsidRPr="004C2D43">
        <w:rPr>
          <w:rFonts w:cstheme="minorHAnsi"/>
          <w:i/>
          <w:iCs/>
          <w:sz w:val="20"/>
          <w:szCs w:val="20"/>
        </w:rPr>
        <w:t>behavioral</w:t>
      </w:r>
      <w:proofErr w:type="spellEnd"/>
      <w:r w:rsidRPr="004C2D43">
        <w:rPr>
          <w:rFonts w:cstheme="minorHAnsi"/>
          <w:i/>
          <w:iCs/>
          <w:sz w:val="20"/>
          <w:szCs w:val="20"/>
        </w:rPr>
        <w:t xml:space="preserve"> and coverage outcomes and (D) epidemiological outcomes. The vertical solid line represents the pooled effect estimate, and the diagonal lines denote the pseudo 95% confidence limits. Each point represents an individual study. Panel C demonstrates clear asymmetry, with clustering of studies showing positive effects, </w:t>
      </w:r>
      <w:r w:rsidRPr="004C2D43">
        <w:rPr>
          <w:rFonts w:cstheme="minorHAnsi"/>
          <w:i/>
          <w:iCs/>
          <w:sz w:val="20"/>
          <w:szCs w:val="20"/>
        </w:rPr>
        <w:lastRenderedPageBreak/>
        <w:t>suggesting potential publication bias and small-study effects. Panel D also shows asymmetry, with fewer small studies reporting null or adverse effects, indicating possible selective reporting. In both panels, interpretation of asymmetry should consider the high levels of heterogeneity observed across studies.</w:t>
      </w:r>
    </w:p>
    <w:p w14:paraId="4449B16D" w14:textId="77777777" w:rsidR="00BA5833" w:rsidRPr="00BA5833" w:rsidRDefault="00BA5833" w:rsidP="009238B0">
      <w:pPr>
        <w:jc w:val="both"/>
        <w:rPr>
          <w:rFonts w:cstheme="minorHAnsi"/>
          <w:sz w:val="20"/>
          <w:szCs w:val="20"/>
        </w:rPr>
      </w:pPr>
    </w:p>
    <w:p w14:paraId="6491BBA6" w14:textId="58A93656" w:rsidR="00CE286B" w:rsidRDefault="00CE286B">
      <w:pPr>
        <w:rPr>
          <w:rFonts w:cstheme="minorHAnsi"/>
          <w:sz w:val="20"/>
          <w:szCs w:val="20"/>
        </w:rPr>
      </w:pPr>
      <w:r w:rsidRPr="00CE286B">
        <w:rPr>
          <w:rFonts w:cstheme="minorHAnsi"/>
          <w:b/>
          <w:bCs/>
          <w:sz w:val="20"/>
          <w:szCs w:val="20"/>
        </w:rPr>
        <w:t xml:space="preserve">Table </w:t>
      </w:r>
      <w:r w:rsidRPr="00CE286B">
        <w:rPr>
          <w:rFonts w:cstheme="minorHAnsi"/>
          <w:b/>
          <w:bCs/>
          <w:sz w:val="20"/>
          <w:szCs w:val="20"/>
        </w:rPr>
        <w:t>A3</w:t>
      </w:r>
      <w:r w:rsidRPr="00CE286B">
        <w:rPr>
          <w:rFonts w:cstheme="minorHAnsi"/>
          <w:b/>
          <w:bCs/>
          <w:sz w:val="20"/>
          <w:szCs w:val="20"/>
        </w:rPr>
        <w:t xml:space="preserve">. </w:t>
      </w:r>
      <w:r w:rsidRPr="00CE286B">
        <w:rPr>
          <w:rFonts w:cstheme="minorHAnsi"/>
          <w:sz w:val="20"/>
          <w:szCs w:val="20"/>
        </w:rPr>
        <w:t>Publication bias sensitivity analysis of pooled intervention effects</w:t>
      </w:r>
    </w:p>
    <w:tbl>
      <w:tblPr>
        <w:tblStyle w:val="TableGrid"/>
        <w:tblW w:w="9118" w:type="dxa"/>
        <w:tblLayout w:type="fixed"/>
        <w:tblLook w:val="0420" w:firstRow="1" w:lastRow="0" w:firstColumn="0" w:lastColumn="0" w:noHBand="0" w:noVBand="1"/>
      </w:tblPr>
      <w:tblGrid>
        <w:gridCol w:w="1877"/>
        <w:gridCol w:w="1183"/>
        <w:gridCol w:w="2364"/>
        <w:gridCol w:w="1416"/>
        <w:gridCol w:w="2278"/>
      </w:tblGrid>
      <w:tr w:rsidR="00CE286B" w:rsidRPr="00972B58" w14:paraId="4B1CBBFB" w14:textId="77777777" w:rsidTr="00972B58">
        <w:trPr>
          <w:trHeight w:val="864"/>
        </w:trPr>
        <w:tc>
          <w:tcPr>
            <w:tcW w:w="1877" w:type="dxa"/>
            <w:vAlign w:val="center"/>
          </w:tcPr>
          <w:p w14:paraId="6AF64CB2"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Metric / Model Stage</w:t>
            </w:r>
          </w:p>
        </w:tc>
        <w:tc>
          <w:tcPr>
            <w:tcW w:w="1183" w:type="dxa"/>
            <w:vAlign w:val="center"/>
          </w:tcPr>
          <w:p w14:paraId="05E9408E"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Estimate / Value</w:t>
            </w:r>
          </w:p>
        </w:tc>
        <w:tc>
          <w:tcPr>
            <w:tcW w:w="2364" w:type="dxa"/>
            <w:vAlign w:val="center"/>
          </w:tcPr>
          <w:p w14:paraId="605E2CAC"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95% Confidence Interval</w:t>
            </w:r>
          </w:p>
        </w:tc>
        <w:tc>
          <w:tcPr>
            <w:tcW w:w="1416" w:type="dxa"/>
            <w:vAlign w:val="center"/>
          </w:tcPr>
          <w:p w14:paraId="17E4BF51"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P-value</w:t>
            </w:r>
          </w:p>
        </w:tc>
        <w:tc>
          <w:tcPr>
            <w:tcW w:w="2278" w:type="dxa"/>
            <w:vAlign w:val="center"/>
          </w:tcPr>
          <w:p w14:paraId="3D8C516E"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Model Scores (Heterogeneity &amp; Fit)</w:t>
            </w:r>
          </w:p>
        </w:tc>
      </w:tr>
      <w:tr w:rsidR="00CE286B" w:rsidRPr="00972B58" w14:paraId="30095036" w14:textId="77777777" w:rsidTr="00972B58">
        <w:trPr>
          <w:trHeight w:val="864"/>
        </w:trPr>
        <w:tc>
          <w:tcPr>
            <w:tcW w:w="1877" w:type="dxa"/>
            <w:vAlign w:val="center"/>
          </w:tcPr>
          <w:p w14:paraId="28646FEA"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Initial Pooled Effect (REML)</w:t>
            </w:r>
          </w:p>
        </w:tc>
        <w:tc>
          <w:tcPr>
            <w:tcW w:w="1183" w:type="dxa"/>
            <w:vAlign w:val="center"/>
          </w:tcPr>
          <w:p w14:paraId="302634C8"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-0.17</w:t>
            </w:r>
          </w:p>
        </w:tc>
        <w:tc>
          <w:tcPr>
            <w:tcW w:w="2364" w:type="dxa"/>
            <w:vAlign w:val="center"/>
          </w:tcPr>
          <w:p w14:paraId="44C3AF27"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[-0.38, 0.03]</w:t>
            </w:r>
          </w:p>
        </w:tc>
        <w:tc>
          <w:tcPr>
            <w:tcW w:w="1416" w:type="dxa"/>
            <w:vAlign w:val="center"/>
          </w:tcPr>
          <w:p w14:paraId="2223447C"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0.095</w:t>
            </w:r>
          </w:p>
        </w:tc>
        <w:tc>
          <w:tcPr>
            <w:tcW w:w="2278" w:type="dxa"/>
            <w:vAlign w:val="center"/>
          </w:tcPr>
          <w:p w14:paraId="3E07104E"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I² = 99.4%, τ² = 0.60, AIC = 156.9</w:t>
            </w:r>
          </w:p>
        </w:tc>
      </w:tr>
      <w:tr w:rsidR="00CE286B" w:rsidRPr="00972B58" w14:paraId="399A9219" w14:textId="77777777" w:rsidTr="00972B58">
        <w:trPr>
          <w:trHeight w:val="864"/>
        </w:trPr>
        <w:tc>
          <w:tcPr>
            <w:tcW w:w="1877" w:type="dxa"/>
            <w:vAlign w:val="center"/>
          </w:tcPr>
          <w:p w14:paraId="7056F338"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Egger's Regression Test</w:t>
            </w:r>
          </w:p>
        </w:tc>
        <w:tc>
          <w:tcPr>
            <w:tcW w:w="1183" w:type="dxa"/>
            <w:vAlign w:val="center"/>
          </w:tcPr>
          <w:p w14:paraId="52BD8FBF"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t = 3.87</w:t>
            </w:r>
          </w:p>
        </w:tc>
        <w:tc>
          <w:tcPr>
            <w:tcW w:w="2364" w:type="dxa"/>
            <w:vAlign w:val="center"/>
          </w:tcPr>
          <w:p w14:paraId="4D407B83"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Limit Est: [-0.90, -0.63]</w:t>
            </w:r>
          </w:p>
        </w:tc>
        <w:tc>
          <w:tcPr>
            <w:tcW w:w="1416" w:type="dxa"/>
            <w:vAlign w:val="center"/>
          </w:tcPr>
          <w:p w14:paraId="3DCF245C"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0.0003</w:t>
            </w:r>
          </w:p>
        </w:tc>
        <w:tc>
          <w:tcPr>
            <w:tcW w:w="2278" w:type="dxa"/>
            <w:vAlign w:val="center"/>
          </w:tcPr>
          <w:p w14:paraId="4EB2BA1C"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Significant funnel asymmetry</w:t>
            </w:r>
          </w:p>
        </w:tc>
      </w:tr>
      <w:tr w:rsidR="00CE286B" w:rsidRPr="00972B58" w14:paraId="7C932E62" w14:textId="77777777" w:rsidTr="00972B58">
        <w:trPr>
          <w:trHeight w:val="864"/>
        </w:trPr>
        <w:tc>
          <w:tcPr>
            <w:tcW w:w="1877" w:type="dxa"/>
            <w:vAlign w:val="center"/>
          </w:tcPr>
          <w:p w14:paraId="79E39F52"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Cs/>
                <w:color w:val="000000"/>
                <w:sz w:val="20"/>
                <w:szCs w:val="20"/>
              </w:rPr>
            </w:pPr>
            <w:r w:rsidRPr="00972B58">
              <w:rPr>
                <w:rFonts w:eastAsia="Arial" w:cstheme="minorHAnsi"/>
                <w:bCs/>
                <w:color w:val="000000"/>
                <w:sz w:val="20"/>
                <w:szCs w:val="20"/>
              </w:rPr>
              <w:t>Trim-and-Fill Adjusted Effect</w:t>
            </w:r>
          </w:p>
        </w:tc>
        <w:tc>
          <w:tcPr>
            <w:tcW w:w="1183" w:type="dxa"/>
            <w:vAlign w:val="center"/>
          </w:tcPr>
          <w:p w14:paraId="2C640F9E"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-0.32</w:t>
            </w:r>
          </w:p>
        </w:tc>
        <w:tc>
          <w:tcPr>
            <w:tcW w:w="2364" w:type="dxa"/>
            <w:vAlign w:val="center"/>
          </w:tcPr>
          <w:p w14:paraId="15B7D992"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[-0.54, -0.10]</w:t>
            </w:r>
          </w:p>
        </w:tc>
        <w:tc>
          <w:tcPr>
            <w:tcW w:w="1416" w:type="dxa"/>
            <w:vAlign w:val="center"/>
          </w:tcPr>
          <w:p w14:paraId="49228038"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b/>
                <w:color w:val="000000"/>
                <w:sz w:val="20"/>
                <w:szCs w:val="20"/>
              </w:rPr>
            </w:pPr>
            <w:r w:rsidRPr="00972B58">
              <w:rPr>
                <w:rFonts w:eastAsia="Arial" w:cstheme="minorHAnsi"/>
                <w:b/>
                <w:color w:val="000000"/>
                <w:sz w:val="20"/>
                <w:szCs w:val="20"/>
              </w:rPr>
              <w:t>0.004</w:t>
            </w:r>
          </w:p>
        </w:tc>
        <w:tc>
          <w:tcPr>
            <w:tcW w:w="2278" w:type="dxa"/>
            <w:vAlign w:val="center"/>
          </w:tcPr>
          <w:p w14:paraId="4B9DB770" w14:textId="77777777" w:rsidR="00CE286B" w:rsidRPr="00972B58" w:rsidRDefault="00CE286B" w:rsidP="00972B58">
            <w:pPr>
              <w:pBdr>
                <w:top w:val="none" w:sz="0" w:space="0" w:color="000000"/>
                <w:left w:val="none" w:sz="0" w:space="0" w:color="000000"/>
                <w:bottom w:val="none" w:sz="0" w:space="0" w:color="000000"/>
                <w:right w:val="none" w:sz="0" w:space="0" w:color="000000"/>
              </w:pBdr>
              <w:ind w:left="100" w:right="100"/>
              <w:rPr>
                <w:rFonts w:eastAsia="Arial" w:cstheme="minorHAnsi"/>
                <w:color w:val="000000"/>
                <w:sz w:val="20"/>
                <w:szCs w:val="20"/>
              </w:rPr>
            </w:pPr>
            <w:r w:rsidRPr="00972B58">
              <w:rPr>
                <w:rFonts w:eastAsia="Arial" w:cstheme="minorHAnsi"/>
                <w:color w:val="000000"/>
                <w:sz w:val="20"/>
                <w:szCs w:val="20"/>
              </w:rPr>
              <w:t>Imputed Studies (k) = 7, AIC = 192.6</w:t>
            </w:r>
          </w:p>
        </w:tc>
      </w:tr>
    </w:tbl>
    <w:p w14:paraId="1D82FA79" w14:textId="77777777" w:rsidR="00CE286B" w:rsidRDefault="00CE286B">
      <w:pPr>
        <w:rPr>
          <w:rFonts w:cstheme="minorHAnsi"/>
          <w:sz w:val="20"/>
          <w:szCs w:val="20"/>
        </w:rPr>
      </w:pPr>
    </w:p>
    <w:p w14:paraId="6E6552D6" w14:textId="77777777" w:rsidR="00CE286B" w:rsidRDefault="00CE286B">
      <w:pPr>
        <w:rPr>
          <w:rFonts w:cstheme="minorHAnsi"/>
          <w:sz w:val="20"/>
          <w:szCs w:val="20"/>
        </w:rPr>
      </w:pPr>
    </w:p>
    <w:p w14:paraId="538CABE7" w14:textId="77777777" w:rsidR="00CE286B" w:rsidRDefault="00CE286B">
      <w:pPr>
        <w:rPr>
          <w:rFonts w:cstheme="minorHAnsi"/>
          <w:sz w:val="20"/>
          <w:szCs w:val="20"/>
        </w:rPr>
      </w:pPr>
    </w:p>
    <w:p w14:paraId="40D25266" w14:textId="77777777" w:rsidR="00CE286B" w:rsidRDefault="00CE286B" w:rsidP="00972B58">
      <w:pPr>
        <w:spacing w:after="0"/>
        <w:rPr>
          <w:rFonts w:cstheme="minorHAnsi"/>
          <w:sz w:val="20"/>
          <w:szCs w:val="20"/>
        </w:rPr>
      </w:pPr>
      <w:r>
        <w:rPr>
          <w:rFonts w:cstheme="minorHAnsi"/>
          <w:noProof/>
          <w:sz w:val="20"/>
          <w:szCs w:val="20"/>
        </w:rPr>
        <w:lastRenderedPageBreak/>
        <w:drawing>
          <wp:inline distT="0" distB="0" distL="0" distR="0" wp14:anchorId="3500E7BF" wp14:editId="675F225F">
            <wp:extent cx="5560577" cy="8050031"/>
            <wp:effectExtent l="0" t="0" r="2540" b="8255"/>
            <wp:docPr id="18446209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369" cy="8067102"/>
                    </a:xfrm>
                    <a:prstGeom prst="rect">
                      <a:avLst/>
                    </a:prstGeom>
                    <a:noFill/>
                    <a:ln>
                      <a:noFill/>
                    </a:ln>
                  </pic:spPr>
                </pic:pic>
              </a:graphicData>
            </a:graphic>
          </wp:inline>
        </w:drawing>
      </w:r>
    </w:p>
    <w:p w14:paraId="6CE9C76D" w14:textId="1A17EF5C" w:rsidR="009F6207" w:rsidRPr="00927310" w:rsidRDefault="00CE286B" w:rsidP="00927310">
      <w:pPr>
        <w:jc w:val="both"/>
        <w:rPr>
          <w:rFonts w:cstheme="minorHAnsi"/>
          <w:sz w:val="20"/>
          <w:szCs w:val="20"/>
          <w:lang w:val="en-US"/>
        </w:rPr>
      </w:pPr>
      <w:r w:rsidRPr="00CE286B">
        <w:rPr>
          <w:rFonts w:cstheme="minorHAnsi"/>
          <w:b/>
          <w:bCs/>
          <w:sz w:val="20"/>
          <w:szCs w:val="20"/>
          <w:lang/>
        </w:rPr>
        <w:t xml:space="preserve">Figure </w:t>
      </w:r>
      <w:r>
        <w:rPr>
          <w:rFonts w:cstheme="minorHAnsi"/>
          <w:b/>
          <w:bCs/>
          <w:sz w:val="20"/>
          <w:szCs w:val="20"/>
          <w:lang w:val="en-US"/>
        </w:rPr>
        <w:t>A3</w:t>
      </w:r>
      <w:r w:rsidRPr="00CE286B">
        <w:rPr>
          <w:rFonts w:cstheme="minorHAnsi"/>
          <w:b/>
          <w:bCs/>
          <w:sz w:val="20"/>
          <w:szCs w:val="20"/>
          <w:lang/>
        </w:rPr>
        <w:t xml:space="preserve">. </w:t>
      </w:r>
      <w:r w:rsidRPr="00CE286B">
        <w:rPr>
          <w:rFonts w:cstheme="minorHAnsi"/>
          <w:sz w:val="20"/>
          <w:szCs w:val="20"/>
          <w:lang/>
        </w:rPr>
        <w:t>Funnel plots assessing publication bias before and after trim-and-fill adjustment</w:t>
      </w:r>
      <w:r>
        <w:rPr>
          <w:rFonts w:cstheme="minorHAnsi"/>
          <w:sz w:val="20"/>
          <w:szCs w:val="20"/>
          <w:lang w:val="en-US"/>
        </w:rPr>
        <w:t>. (A)</w:t>
      </w:r>
      <w:r w:rsidR="00972B58">
        <w:rPr>
          <w:rFonts w:cstheme="minorHAnsi"/>
          <w:sz w:val="20"/>
          <w:szCs w:val="20"/>
          <w:lang w:val="en-US"/>
        </w:rPr>
        <w:t xml:space="preserve"> </w:t>
      </w:r>
      <w:r w:rsidRPr="00CE286B">
        <w:rPr>
          <w:rFonts w:cstheme="minorHAnsi"/>
          <w:sz w:val="20"/>
          <w:szCs w:val="20"/>
          <w:lang/>
        </w:rPr>
        <w:t>Baseline funnel plot of observed studies showing study-specific effect sizes (log incidence rate ratios, LogRR) plotted against their standard errors</w:t>
      </w:r>
      <w:r w:rsidR="00972B58">
        <w:rPr>
          <w:rFonts w:cstheme="minorHAnsi"/>
          <w:sz w:val="20"/>
          <w:szCs w:val="20"/>
          <w:lang w:val="en-US"/>
        </w:rPr>
        <w:t xml:space="preserve"> (</w:t>
      </w:r>
      <w:r w:rsidR="00972B58" w:rsidRPr="00972B58">
        <w:rPr>
          <w:rFonts w:cstheme="minorHAnsi"/>
          <w:i/>
          <w:iCs/>
          <w:sz w:val="20"/>
          <w:szCs w:val="20"/>
          <w:lang w:val="en-US"/>
        </w:rPr>
        <w:t>The solid vertical line represents the null effect (</w:t>
      </w:r>
      <w:proofErr w:type="spellStart"/>
      <w:r w:rsidR="00972B58" w:rsidRPr="00972B58">
        <w:rPr>
          <w:rFonts w:cstheme="minorHAnsi"/>
          <w:i/>
          <w:iCs/>
          <w:sz w:val="20"/>
          <w:szCs w:val="20"/>
          <w:lang w:val="en-US"/>
        </w:rPr>
        <w:t>LogRR</w:t>
      </w:r>
      <w:proofErr w:type="spellEnd"/>
      <w:r w:rsidR="00972B58" w:rsidRPr="00972B58">
        <w:rPr>
          <w:rFonts w:cstheme="minorHAnsi"/>
          <w:i/>
          <w:iCs/>
          <w:sz w:val="20"/>
          <w:szCs w:val="20"/>
          <w:lang w:val="en-US"/>
        </w:rPr>
        <w:t xml:space="preserve"> = 0), while the dashed red line indicates the baseline pooled estimate</w:t>
      </w:r>
      <w:r w:rsidR="00972B58">
        <w:rPr>
          <w:rFonts w:cstheme="minorHAnsi"/>
          <w:i/>
          <w:iCs/>
          <w:sz w:val="20"/>
          <w:szCs w:val="20"/>
          <w:lang w:val="en-US"/>
        </w:rPr>
        <w:t xml:space="preserve">; </w:t>
      </w:r>
      <w:proofErr w:type="spellStart"/>
      <w:r w:rsidR="00972B58" w:rsidRPr="00972B58">
        <w:rPr>
          <w:rFonts w:cstheme="minorHAnsi"/>
          <w:i/>
          <w:iCs/>
          <w:sz w:val="20"/>
          <w:szCs w:val="20"/>
          <w:lang w:val="en-US"/>
        </w:rPr>
        <w:t>LogRR</w:t>
      </w:r>
      <w:proofErr w:type="spellEnd"/>
      <w:r w:rsidR="00972B58" w:rsidRPr="00972B58">
        <w:rPr>
          <w:rFonts w:cstheme="minorHAnsi"/>
          <w:i/>
          <w:iCs/>
          <w:sz w:val="20"/>
          <w:szCs w:val="20"/>
          <w:lang w:val="en-US"/>
        </w:rPr>
        <w:t xml:space="preserve"> = −0.17, p = 0.095</w:t>
      </w:r>
      <w:r w:rsidR="00972B58">
        <w:rPr>
          <w:rFonts w:cstheme="minorHAnsi"/>
          <w:sz w:val="20"/>
          <w:szCs w:val="20"/>
          <w:lang w:val="en-US"/>
        </w:rPr>
        <w:t>)</w:t>
      </w:r>
      <w:r w:rsidRPr="00CE286B">
        <w:rPr>
          <w:rFonts w:cstheme="minorHAnsi"/>
          <w:sz w:val="20"/>
          <w:szCs w:val="20"/>
          <w:lang/>
        </w:rPr>
        <w:t>.</w:t>
      </w:r>
      <w:r w:rsidR="00972B58">
        <w:rPr>
          <w:rFonts w:cstheme="minorHAnsi"/>
          <w:sz w:val="20"/>
          <w:szCs w:val="20"/>
          <w:lang w:val="en-US"/>
        </w:rPr>
        <w:t xml:space="preserve"> </w:t>
      </w:r>
      <w:r w:rsidR="00972B58" w:rsidRPr="00972B58">
        <w:rPr>
          <w:rFonts w:cstheme="minorHAnsi"/>
          <w:sz w:val="20"/>
          <w:szCs w:val="20"/>
          <w:lang w:val="en-US"/>
        </w:rPr>
        <w:t xml:space="preserve">(B) Trim-and-fill adjusted funnel plot showing both </w:t>
      </w:r>
      <w:r w:rsidR="00972B58" w:rsidRPr="00972B58">
        <w:rPr>
          <w:rFonts w:cstheme="minorHAnsi"/>
          <w:sz w:val="20"/>
          <w:szCs w:val="20"/>
          <w:lang w:val="en-US"/>
        </w:rPr>
        <w:lastRenderedPageBreak/>
        <w:t>observed studies (filled circles) and imputed (missing) studies (open circles) added to restore symmetry</w:t>
      </w:r>
      <w:r w:rsidR="00972B58">
        <w:rPr>
          <w:rFonts w:cstheme="minorHAnsi"/>
          <w:sz w:val="20"/>
          <w:szCs w:val="20"/>
          <w:lang w:val="en-US"/>
        </w:rPr>
        <w:t xml:space="preserve"> (</w:t>
      </w:r>
      <w:r w:rsidR="00972B58" w:rsidRPr="00972B58">
        <w:rPr>
          <w:rFonts w:cstheme="minorHAnsi"/>
          <w:i/>
          <w:iCs/>
          <w:sz w:val="20"/>
          <w:szCs w:val="20"/>
          <w:lang w:val="en-US"/>
        </w:rPr>
        <w:t>The solid vertical line represents the null effect, and the dashed blue line indicates the bias-adjusted pooled estimate</w:t>
      </w:r>
      <w:r w:rsidR="00972B58">
        <w:rPr>
          <w:rFonts w:cstheme="minorHAnsi"/>
          <w:i/>
          <w:iCs/>
          <w:sz w:val="20"/>
          <w:szCs w:val="20"/>
          <w:lang w:val="en-US"/>
        </w:rPr>
        <w:t xml:space="preserve">; </w:t>
      </w:r>
      <w:proofErr w:type="spellStart"/>
      <w:r w:rsidR="00972B58" w:rsidRPr="00972B58">
        <w:rPr>
          <w:rFonts w:cstheme="minorHAnsi"/>
          <w:i/>
          <w:iCs/>
          <w:sz w:val="20"/>
          <w:szCs w:val="20"/>
          <w:lang w:val="en-US"/>
        </w:rPr>
        <w:t>LogRR</w:t>
      </w:r>
      <w:proofErr w:type="spellEnd"/>
      <w:r w:rsidR="00972B58" w:rsidRPr="00972B58">
        <w:rPr>
          <w:rFonts w:cstheme="minorHAnsi"/>
          <w:i/>
          <w:iCs/>
          <w:sz w:val="20"/>
          <w:szCs w:val="20"/>
          <w:lang w:val="en-US"/>
        </w:rPr>
        <w:t xml:space="preserve"> = −0.32</w:t>
      </w:r>
      <w:r w:rsidR="00972B58">
        <w:rPr>
          <w:rFonts w:cstheme="minorHAnsi"/>
          <w:sz w:val="20"/>
          <w:szCs w:val="20"/>
          <w:lang w:val="en-US"/>
        </w:rPr>
        <w:t>)</w:t>
      </w:r>
    </w:p>
    <w:sectPr w:rsidR="009F6207" w:rsidRPr="0092731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0869"/>
    <w:multiLevelType w:val="multilevel"/>
    <w:tmpl w:val="BEF6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38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AA"/>
    <w:rsid w:val="00010DAA"/>
    <w:rsid w:val="000535FD"/>
    <w:rsid w:val="0006577F"/>
    <w:rsid w:val="00262904"/>
    <w:rsid w:val="0044004A"/>
    <w:rsid w:val="0045381E"/>
    <w:rsid w:val="004C2D43"/>
    <w:rsid w:val="004F7B48"/>
    <w:rsid w:val="00556A3C"/>
    <w:rsid w:val="00565171"/>
    <w:rsid w:val="006F4D02"/>
    <w:rsid w:val="00806535"/>
    <w:rsid w:val="00853875"/>
    <w:rsid w:val="00867EBC"/>
    <w:rsid w:val="008C2DBB"/>
    <w:rsid w:val="00900D63"/>
    <w:rsid w:val="009238B0"/>
    <w:rsid w:val="00927310"/>
    <w:rsid w:val="00972B58"/>
    <w:rsid w:val="00997CAD"/>
    <w:rsid w:val="009A17E1"/>
    <w:rsid w:val="009F6207"/>
    <w:rsid w:val="00AD1603"/>
    <w:rsid w:val="00B478BE"/>
    <w:rsid w:val="00B7515C"/>
    <w:rsid w:val="00BA5833"/>
    <w:rsid w:val="00C36F80"/>
    <w:rsid w:val="00CE286B"/>
    <w:rsid w:val="00D03CED"/>
    <w:rsid w:val="00D20F4E"/>
    <w:rsid w:val="00D45F45"/>
    <w:rsid w:val="00E545E2"/>
    <w:rsid w:val="00E904A0"/>
    <w:rsid w:val="00F23F7E"/>
    <w:rsid w:val="00FA0E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7873"/>
  <w15:chartTrackingRefBased/>
  <w15:docId w15:val="{C4EA89E2-4F8D-440B-B687-F1245B8A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10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D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D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D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DA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010DA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010DA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10DA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10DA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10DA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10DA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10DA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10DA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10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DA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10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DA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10DAA"/>
    <w:pPr>
      <w:spacing w:before="160"/>
      <w:jc w:val="center"/>
    </w:pPr>
    <w:rPr>
      <w:i/>
      <w:iCs/>
      <w:color w:val="404040" w:themeColor="text1" w:themeTint="BF"/>
    </w:rPr>
  </w:style>
  <w:style w:type="character" w:customStyle="1" w:styleId="QuoteChar">
    <w:name w:val="Quote Char"/>
    <w:basedOn w:val="DefaultParagraphFont"/>
    <w:link w:val="Quote"/>
    <w:uiPriority w:val="29"/>
    <w:rsid w:val="00010DAA"/>
    <w:rPr>
      <w:i/>
      <w:iCs/>
      <w:color w:val="404040" w:themeColor="text1" w:themeTint="BF"/>
      <w:lang w:val="en-GB"/>
    </w:rPr>
  </w:style>
  <w:style w:type="paragraph" w:styleId="ListParagraph">
    <w:name w:val="List Paragraph"/>
    <w:basedOn w:val="Normal"/>
    <w:uiPriority w:val="34"/>
    <w:qFormat/>
    <w:rsid w:val="00010DAA"/>
    <w:pPr>
      <w:ind w:left="720"/>
      <w:contextualSpacing/>
    </w:pPr>
  </w:style>
  <w:style w:type="character" w:styleId="IntenseEmphasis">
    <w:name w:val="Intense Emphasis"/>
    <w:basedOn w:val="DefaultParagraphFont"/>
    <w:uiPriority w:val="21"/>
    <w:qFormat/>
    <w:rsid w:val="00010DAA"/>
    <w:rPr>
      <w:i/>
      <w:iCs/>
      <w:color w:val="2F5496" w:themeColor="accent1" w:themeShade="BF"/>
    </w:rPr>
  </w:style>
  <w:style w:type="paragraph" w:styleId="IntenseQuote">
    <w:name w:val="Intense Quote"/>
    <w:basedOn w:val="Normal"/>
    <w:next w:val="Normal"/>
    <w:link w:val="IntenseQuoteChar"/>
    <w:uiPriority w:val="30"/>
    <w:qFormat/>
    <w:rsid w:val="00010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DAA"/>
    <w:rPr>
      <w:i/>
      <w:iCs/>
      <w:color w:val="2F5496" w:themeColor="accent1" w:themeShade="BF"/>
      <w:lang w:val="en-GB"/>
    </w:rPr>
  </w:style>
  <w:style w:type="character" w:styleId="IntenseReference">
    <w:name w:val="Intense Reference"/>
    <w:basedOn w:val="DefaultParagraphFont"/>
    <w:uiPriority w:val="32"/>
    <w:qFormat/>
    <w:rsid w:val="00010DAA"/>
    <w:rPr>
      <w:b/>
      <w:bCs/>
      <w:smallCaps/>
      <w:color w:val="2F5496" w:themeColor="accent1" w:themeShade="BF"/>
      <w:spacing w:val="5"/>
    </w:rPr>
  </w:style>
  <w:style w:type="table" w:styleId="TableGrid">
    <w:name w:val="Table Grid"/>
    <w:basedOn w:val="TableNormal"/>
    <w:uiPriority w:val="39"/>
    <w:rsid w:val="0001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CAD"/>
    <w:rPr>
      <w:color w:val="0563C1" w:themeColor="hyperlink"/>
      <w:u w:val="single"/>
    </w:rPr>
  </w:style>
  <w:style w:type="character" w:styleId="UnresolvedMention">
    <w:name w:val="Unresolved Mention"/>
    <w:basedOn w:val="DefaultParagraphFont"/>
    <w:uiPriority w:val="99"/>
    <w:semiHidden/>
    <w:unhideWhenUsed/>
    <w:rsid w:val="00997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9C74CA7-48B6-48F7-8A9F-B828F43C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3827</TotalTime>
  <Pages>7</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Frederick</dc:creator>
  <cp:keywords/>
  <dc:description/>
  <cp:lastModifiedBy>Eric Frederick</cp:lastModifiedBy>
  <cp:revision>12</cp:revision>
  <dcterms:created xsi:type="dcterms:W3CDTF">2026-02-05T09:11:00Z</dcterms:created>
  <dcterms:modified xsi:type="dcterms:W3CDTF">2026-05-09T11:08:00Z</dcterms:modified>
</cp:coreProperties>
</file>