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1D61F" w14:textId="77777777" w:rsidR="00AB274D" w:rsidRPr="00AE3B79" w:rsidRDefault="00AB274D" w:rsidP="00AB274D">
      <w:pPr>
        <w:spacing w:before="120"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AE3B79">
        <w:rPr>
          <w:rFonts w:ascii="Arial" w:hAnsi="Arial" w:cs="Arial"/>
          <w:b/>
          <w:bCs/>
          <w:sz w:val="20"/>
          <w:szCs w:val="20"/>
          <w:lang w:val="en-US"/>
        </w:rPr>
        <w:t>Supplementary Information (SI)</w:t>
      </w:r>
    </w:p>
    <w:p w14:paraId="56D04890" w14:textId="77777777" w:rsidR="00AB274D" w:rsidRPr="006B3154" w:rsidRDefault="00AB274D" w:rsidP="00AB274D">
      <w:pPr>
        <w:spacing w:before="120"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6B315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Fig. S1 Experimental setup of the agar plate assay </w:t>
      </w:r>
    </w:p>
    <w:p w14:paraId="0F7CAC55" w14:textId="77777777" w:rsidR="00AB274D" w:rsidRPr="006B3154" w:rsidRDefault="00AB274D" w:rsidP="00AB274D">
      <w:pPr>
        <w:spacing w:before="120"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B3154">
        <w:rPr>
          <w:rFonts w:ascii="Arial" w:hAnsi="Arial" w:cs="Arial"/>
          <w:sz w:val="20"/>
          <w:szCs w:val="20"/>
          <w:lang w:val="en-US"/>
        </w:rPr>
        <w:t>Fig. S2 Shoot biomass responses of rice and barley genotypes to bacterial inoculation under low-P conditions</w:t>
      </w:r>
    </w:p>
    <w:p w14:paraId="3CEC018F" w14:textId="77777777" w:rsidR="00AB274D" w:rsidRPr="006B3154" w:rsidRDefault="00AB274D" w:rsidP="00AB274D">
      <w:pPr>
        <w:spacing w:before="120"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B3154">
        <w:rPr>
          <w:rFonts w:ascii="Arial" w:hAnsi="Arial" w:cs="Arial"/>
          <w:sz w:val="20"/>
          <w:szCs w:val="20"/>
          <w:lang w:val="en-US"/>
        </w:rPr>
        <w:t>Fig. S3 Representative scanned root images of greenhouse-grown maize under different bacterial treatments</w:t>
      </w:r>
    </w:p>
    <w:p w14:paraId="4504AC22" w14:textId="77777777" w:rsidR="00AB274D" w:rsidRPr="006B3154" w:rsidRDefault="00AB274D" w:rsidP="00AB274D">
      <w:pPr>
        <w:spacing w:before="120"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B3154">
        <w:rPr>
          <w:rFonts w:ascii="Arial" w:hAnsi="Arial" w:cs="Arial"/>
          <w:sz w:val="20"/>
          <w:szCs w:val="20"/>
          <w:lang w:val="en-US"/>
        </w:rPr>
        <w:t>Fig. S4 Effects of bacterial inoculation on fine root traits in agar-grown maize seedlings</w:t>
      </w:r>
    </w:p>
    <w:p w14:paraId="5F4C5E61" w14:textId="77777777" w:rsidR="00AB274D" w:rsidRPr="006B3154" w:rsidRDefault="00AB274D" w:rsidP="00AB274D">
      <w:pPr>
        <w:spacing w:before="120" w:after="0" w:line="360" w:lineRule="auto"/>
        <w:jc w:val="both"/>
        <w:rPr>
          <w:rFonts w:ascii="Arial" w:hAnsi="Arial" w:cs="Arial"/>
          <w:kern w:val="0"/>
          <w:sz w:val="20"/>
          <w:szCs w:val="20"/>
          <w:lang w:val="en-US"/>
          <w14:ligatures w14:val="none"/>
        </w:rPr>
      </w:pPr>
      <w:r w:rsidRPr="006B3154">
        <w:rPr>
          <w:rFonts w:ascii="Arial" w:hAnsi="Arial" w:cs="Arial"/>
          <w:sz w:val="20"/>
          <w:szCs w:val="20"/>
          <w:lang w:val="en-US"/>
        </w:rPr>
        <w:t xml:space="preserve">Fig. S5 Qualitative screening of phosphate-solubilizing activity among </w:t>
      </w:r>
      <w:r w:rsidRPr="006B3154">
        <w:rPr>
          <w:rFonts w:ascii="Arial" w:hAnsi="Arial" w:cs="Arial"/>
          <w:i/>
          <w:iCs/>
          <w:sz w:val="20"/>
          <w:szCs w:val="20"/>
          <w:lang w:val="en-US"/>
        </w:rPr>
        <w:t>Kribbella</w:t>
      </w:r>
      <w:r w:rsidRPr="006B3154">
        <w:rPr>
          <w:rFonts w:ascii="Arial" w:hAnsi="Arial" w:cs="Arial"/>
          <w:sz w:val="20"/>
          <w:szCs w:val="20"/>
          <w:lang w:val="en-US"/>
        </w:rPr>
        <w:t xml:space="preserve"> and </w:t>
      </w:r>
      <w:r w:rsidRPr="006B3154">
        <w:rPr>
          <w:rFonts w:ascii="Arial" w:hAnsi="Arial" w:cs="Arial"/>
          <w:i/>
          <w:iCs/>
          <w:sz w:val="20"/>
          <w:szCs w:val="20"/>
          <w:lang w:val="en-US"/>
        </w:rPr>
        <w:t>Nocardioides</w:t>
      </w:r>
      <w:r w:rsidRPr="006B3154">
        <w:rPr>
          <w:rFonts w:ascii="Arial" w:hAnsi="Arial" w:cs="Arial"/>
          <w:sz w:val="20"/>
          <w:szCs w:val="20"/>
          <w:lang w:val="en-US"/>
        </w:rPr>
        <w:t xml:space="preserve"> isolates</w:t>
      </w:r>
    </w:p>
    <w:p w14:paraId="0FCD9AC3" w14:textId="77777777" w:rsidR="00AB274D" w:rsidRPr="00CB1408" w:rsidRDefault="00AB274D" w:rsidP="00AB274D">
      <w:pPr>
        <w:spacing w:before="120"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B1408">
        <w:rPr>
          <w:rFonts w:ascii="Arial" w:hAnsi="Arial" w:cs="Arial"/>
          <w:sz w:val="20"/>
          <w:szCs w:val="20"/>
          <w:lang w:val="en-US"/>
        </w:rPr>
        <w:t>Supplementary Table S1</w:t>
      </w:r>
      <w:r w:rsidRPr="00CB1408">
        <w:rPr>
          <w:rFonts w:ascii="Arial" w:hAnsi="Arial" w:cs="Arial" w:hint="eastAsia"/>
          <w:sz w:val="20"/>
          <w:szCs w:val="20"/>
          <w:lang w:val="en-US"/>
        </w:rPr>
        <w:t xml:space="preserve"> </w:t>
      </w:r>
      <w:r w:rsidRPr="00CB1408">
        <w:rPr>
          <w:rFonts w:ascii="Arial" w:hAnsi="Arial" w:cs="Arial"/>
          <w:sz w:val="20"/>
          <w:szCs w:val="20"/>
          <w:lang w:val="en-US"/>
        </w:rPr>
        <w:t>16S rRNA gene sequences of the bacterial isolates used in the greenhouse screening experiment</w:t>
      </w:r>
    </w:p>
    <w:p w14:paraId="5DB6F76A" w14:textId="77777777" w:rsidR="00AB274D" w:rsidRPr="00CB1408" w:rsidRDefault="00AB274D" w:rsidP="00AB274D">
      <w:pPr>
        <w:spacing w:before="120"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B1408">
        <w:rPr>
          <w:rFonts w:ascii="Arial" w:hAnsi="Arial" w:cs="Arial"/>
          <w:sz w:val="20"/>
          <w:szCs w:val="20"/>
          <w:lang w:val="en-US"/>
        </w:rPr>
        <w:t>Supplementary Table S</w:t>
      </w:r>
      <w:r w:rsidRPr="00CB1408">
        <w:rPr>
          <w:rFonts w:ascii="Arial" w:hAnsi="Arial" w:cs="Arial" w:hint="eastAsia"/>
          <w:sz w:val="20"/>
          <w:szCs w:val="20"/>
          <w:lang w:val="en-US"/>
        </w:rPr>
        <w:t xml:space="preserve">2 </w:t>
      </w:r>
      <w:r w:rsidRPr="00CB1408">
        <w:rPr>
          <w:rFonts w:ascii="Arial" w:hAnsi="Arial" w:cs="Arial"/>
          <w:sz w:val="20"/>
          <w:szCs w:val="20"/>
          <w:lang w:val="en-US"/>
        </w:rPr>
        <w:t>Plant biomass, P accumulation and root phenotypic data from the greenhouse screening experiment</w:t>
      </w:r>
    </w:p>
    <w:p w14:paraId="4F3E8FC6" w14:textId="77777777" w:rsidR="00AB274D" w:rsidRPr="00892BC5" w:rsidRDefault="00AB274D" w:rsidP="00AB274D">
      <w:pPr>
        <w:spacing w:before="120" w:after="0" w:line="360" w:lineRule="auto"/>
        <w:jc w:val="both"/>
        <w:rPr>
          <w:rFonts w:ascii="Arial" w:hAnsi="Arial" w:cs="Arial"/>
          <w:kern w:val="0"/>
          <w:sz w:val="20"/>
          <w:szCs w:val="20"/>
          <w:lang w:val="en-US"/>
          <w14:ligatures w14:val="none"/>
        </w:rPr>
      </w:pPr>
      <w:r w:rsidRPr="00CB1408">
        <w:rPr>
          <w:rFonts w:ascii="Arial" w:hAnsi="Arial" w:cs="Arial"/>
          <w:sz w:val="20"/>
          <w:szCs w:val="20"/>
          <w:lang w:val="en-US"/>
        </w:rPr>
        <w:t>Supplementary Table S</w:t>
      </w:r>
      <w:r w:rsidRPr="00CB1408">
        <w:rPr>
          <w:rFonts w:ascii="Arial" w:hAnsi="Arial" w:cs="Arial" w:hint="eastAsia"/>
          <w:sz w:val="20"/>
          <w:szCs w:val="20"/>
          <w:lang w:val="en-US"/>
        </w:rPr>
        <w:t xml:space="preserve">3 </w:t>
      </w:r>
      <w:r w:rsidRPr="00CB1408">
        <w:rPr>
          <w:rFonts w:ascii="Arial" w:hAnsi="Arial" w:cs="Arial"/>
          <w:kern w:val="0"/>
          <w:sz w:val="20"/>
          <w:szCs w:val="20"/>
          <w:lang w:val="en-US"/>
          <w14:ligatures w14:val="none"/>
        </w:rPr>
        <w:t xml:space="preserve">Detailed statistics of </w:t>
      </w:r>
      <w:r w:rsidRPr="00CB1408">
        <w:rPr>
          <w:rFonts w:ascii="Arial" w:hAnsi="Arial" w:cs="Arial" w:hint="eastAsia"/>
          <w:kern w:val="0"/>
          <w:sz w:val="20"/>
          <w:szCs w:val="20"/>
          <w:lang w:val="en-US"/>
          <w14:ligatures w14:val="none"/>
        </w:rPr>
        <w:t>C</w:t>
      </w:r>
      <w:r w:rsidRPr="00CB1408">
        <w:rPr>
          <w:rFonts w:ascii="Arial" w:hAnsi="Arial" w:cs="Arial"/>
          <w:kern w:val="0"/>
          <w:sz w:val="20"/>
          <w:szCs w:val="20"/>
          <w:lang w:val="en-US"/>
          <w14:ligatures w14:val="none"/>
        </w:rPr>
        <w:t>orrelation</w:t>
      </w:r>
      <w:r w:rsidRPr="00CB1408">
        <w:rPr>
          <w:rFonts w:ascii="Arial" w:hAnsi="Arial" w:cs="Arial" w:hint="eastAsia"/>
          <w:kern w:val="0"/>
          <w:sz w:val="20"/>
          <w:szCs w:val="20"/>
          <w:lang w:val="en-US"/>
          <w14:ligatures w14:val="none"/>
        </w:rPr>
        <w:t xml:space="preserve"> and</w:t>
      </w:r>
      <w:r w:rsidRPr="00CB1408">
        <w:rPr>
          <w:rFonts w:ascii="Arial" w:hAnsi="Arial" w:cs="Arial"/>
          <w:kern w:val="0"/>
          <w:sz w:val="20"/>
          <w:szCs w:val="20"/>
          <w:lang w:val="en-US"/>
          <w14:ligatures w14:val="none"/>
        </w:rPr>
        <w:t xml:space="preserve"> Redundancy Analysis assessing the relationship between shoot biomass and root traits</w:t>
      </w:r>
      <w:r w:rsidRPr="006B3154"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2E1E78D8" w14:textId="77777777" w:rsidR="00AB274D" w:rsidRDefault="00AB274D" w:rsidP="00AB274D">
      <w:pPr>
        <w:spacing w:before="120"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6B3154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a</w:t>
      </w:r>
    </w:p>
    <w:p w14:paraId="620ECF1B" w14:textId="77777777" w:rsidR="00AB274D" w:rsidRPr="006B3154" w:rsidRDefault="00AB274D" w:rsidP="00AB274D">
      <w:pPr>
        <w:spacing w:before="120" w:after="0" w:line="360" w:lineRule="auto"/>
        <w:rPr>
          <w:rFonts w:ascii="Arial" w:hAnsi="Arial" w:cs="Arial"/>
          <w:kern w:val="0"/>
          <w:sz w:val="20"/>
          <w:szCs w:val="20"/>
          <w:lang w:val="en-US"/>
          <w14:ligatures w14:val="none"/>
        </w:rPr>
      </w:pPr>
      <w:r w:rsidRPr="00892BC5">
        <w:rPr>
          <w:rFonts w:ascii="Arial" w:hAnsi="Arial" w:cs="Arial"/>
          <w:noProof/>
          <w:kern w:val="0"/>
          <w:sz w:val="20"/>
          <w:szCs w:val="20"/>
          <w:lang w:val="en-US"/>
          <w14:ligatures w14:val="none"/>
        </w:rPr>
        <w:drawing>
          <wp:inline distT="0" distB="0" distL="0" distR="0" wp14:anchorId="694555B8" wp14:editId="23F656E7">
            <wp:extent cx="4684542" cy="1565645"/>
            <wp:effectExtent l="0" t="0" r="1905" b="0"/>
            <wp:docPr id="1534895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89547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06817" cy="157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C3A70" w14:textId="77777777" w:rsidR="00AB274D" w:rsidRPr="006B3154" w:rsidRDefault="00AB274D" w:rsidP="00AB274D">
      <w:pPr>
        <w:spacing w:before="120" w:after="0" w:line="36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6B315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b</w:t>
      </w:r>
    </w:p>
    <w:p w14:paraId="54CACFA6" w14:textId="77777777" w:rsidR="00AB274D" w:rsidRPr="006B3154" w:rsidRDefault="00AB274D" w:rsidP="00AB274D">
      <w:pPr>
        <w:spacing w:before="120"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892BC5">
        <w:rPr>
          <w:rFonts w:ascii="Arial" w:hAnsi="Arial" w:cs="Arial"/>
          <w:noProof/>
          <w:color w:val="000000"/>
          <w:sz w:val="20"/>
          <w:szCs w:val="20"/>
          <w:lang w:val="en-US"/>
        </w:rPr>
        <w:drawing>
          <wp:inline distT="0" distB="0" distL="0" distR="0" wp14:anchorId="3C709457" wp14:editId="45F79ED4">
            <wp:extent cx="4450646" cy="4522763"/>
            <wp:effectExtent l="0" t="0" r="7620" b="0"/>
            <wp:docPr id="2110276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27699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67469" cy="453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3154">
        <w:rPr>
          <w:rFonts w:ascii="Arial" w:hAnsi="Arial" w:cs="Arial"/>
          <w:color w:val="000000"/>
          <w:sz w:val="20"/>
          <w:szCs w:val="20"/>
          <w:lang w:val="en-US"/>
        </w:rPr>
        <w:t xml:space="preserve">           </w:t>
      </w:r>
    </w:p>
    <w:p w14:paraId="038D01FA" w14:textId="77777777" w:rsidR="00AB274D" w:rsidRDefault="00AB274D" w:rsidP="00AB274D">
      <w:pPr>
        <w:spacing w:before="120"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6B315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Fig. S1 Experimental setup of the agar plate assay</w:t>
      </w:r>
      <w:r w:rsidRPr="006B315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6B315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(a)</w:t>
      </w:r>
      <w:r w:rsidRPr="006B315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Germinated maize seedlings of B73 and the root-hair mutant </w:t>
      </w:r>
      <w:r w:rsidRPr="006B3154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rth5</w:t>
      </w:r>
      <w:r w:rsidRPr="006B315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during immersion in the bacterial seed-dipping suspension in 90-mm Petri dishes. </w:t>
      </w:r>
      <w:r w:rsidRPr="006B315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(b)</w:t>
      </w:r>
      <w:r w:rsidRPr="006B315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 250-mm square plate containing inoculated 1/4 MS agar medium, with treated seedlings positioned on the surface before incubation.</w:t>
      </w:r>
    </w:p>
    <w:p w14:paraId="53919229" w14:textId="77777777" w:rsidR="00AB274D" w:rsidRDefault="00AB274D" w:rsidP="00AB274D">
      <w:pPr>
        <w:spacing w:before="120" w:after="0" w:line="360" w:lineRule="auto"/>
        <w:jc w:val="both"/>
        <w:rPr>
          <w:rFonts w:ascii="Arial" w:hAnsi="Arial" w:cs="Arial"/>
          <w:b/>
          <w:bCs/>
          <w:noProof/>
          <w:sz w:val="20"/>
          <w:szCs w:val="20"/>
          <w:lang w:val="en-US"/>
        </w:rPr>
      </w:pPr>
      <w:r w:rsidRPr="00A55D02">
        <w:rPr>
          <w:rFonts w:ascii="Arial" w:hAnsi="Arial" w:cs="Arial"/>
          <w:b/>
          <w:bCs/>
          <w:noProof/>
          <w:sz w:val="20"/>
          <w:szCs w:val="20"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479500F5" wp14:editId="3A529DF5">
            <wp:simplePos x="0" y="0"/>
            <wp:positionH relativeFrom="column">
              <wp:posOffset>14605</wp:posOffset>
            </wp:positionH>
            <wp:positionV relativeFrom="paragraph">
              <wp:posOffset>168910</wp:posOffset>
            </wp:positionV>
            <wp:extent cx="5267960" cy="6987540"/>
            <wp:effectExtent l="0" t="0" r="8890" b="3810"/>
            <wp:wrapTopAndBottom/>
            <wp:docPr id="9883135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31355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98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1DD8">
        <w:rPr>
          <w:rFonts w:ascii="Arial" w:hAnsi="Arial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E828983" wp14:editId="40E22155">
                <wp:simplePos x="0" y="0"/>
                <wp:positionH relativeFrom="column">
                  <wp:posOffset>-111760</wp:posOffset>
                </wp:positionH>
                <wp:positionV relativeFrom="paragraph">
                  <wp:posOffset>3723005</wp:posOffset>
                </wp:positionV>
                <wp:extent cx="368300" cy="1404620"/>
                <wp:effectExtent l="0" t="0" r="0" b="0"/>
                <wp:wrapSquare wrapText="bothSides"/>
                <wp:docPr id="485189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F4845" w14:textId="77777777" w:rsidR="00AB274D" w:rsidRPr="00311DD8" w:rsidRDefault="00AB274D" w:rsidP="00AB274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11DD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8289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8pt;margin-top:293.15pt;width:29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+LDQIAAPYDAAAOAAAAZHJzL2Uyb0RvYy54bWysU9tu2zAMfR+wfxD0vthJkyw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" stroked="f">
                <v:textbox style="mso-fit-shape-to-text:t">
                  <w:txbxContent>
                    <w:p w14:paraId="6C8F4845" w14:textId="77777777" w:rsidR="00AB274D" w:rsidRPr="00311DD8" w:rsidRDefault="00AB274D" w:rsidP="00AB274D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311DD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 w:hint="eastAsia"/>
          <w:b/>
          <w:bCs/>
          <w:noProof/>
          <w:sz w:val="20"/>
          <w:szCs w:val="20"/>
          <w:lang w:val="en-US"/>
        </w:rPr>
        <w:t>a</w:t>
      </w:r>
    </w:p>
    <w:p w14:paraId="12A10D88" w14:textId="77777777" w:rsidR="00AB274D" w:rsidRPr="00892BC5" w:rsidRDefault="00AB274D" w:rsidP="00AB274D">
      <w:pPr>
        <w:spacing w:before="120"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B3154">
        <w:rPr>
          <w:rFonts w:ascii="Arial" w:hAnsi="Arial" w:cs="Arial"/>
          <w:b/>
          <w:bCs/>
          <w:sz w:val="20"/>
          <w:szCs w:val="20"/>
          <w:lang w:val="en-US"/>
        </w:rPr>
        <w:t>Fig. S2 Shoot biomass responses of rice and barley genotypes to bacterial inoculation under low-P conditions (a)</w:t>
      </w:r>
      <w:r w:rsidRPr="006B3154">
        <w:rPr>
          <w:rFonts w:ascii="Arial" w:hAnsi="Arial" w:cs="Arial"/>
          <w:sz w:val="20"/>
          <w:szCs w:val="20"/>
          <w:lang w:val="en-US"/>
        </w:rPr>
        <w:t xml:space="preserve"> Shoot biomass of rice genotypes (Kasalath and its related mutants </w:t>
      </w:r>
      <w:r w:rsidRPr="006B3154">
        <w:rPr>
          <w:rFonts w:ascii="Arial" w:hAnsi="Arial" w:cs="Arial"/>
          <w:i/>
          <w:iCs/>
          <w:sz w:val="20"/>
          <w:szCs w:val="20"/>
          <w:lang w:val="en-US"/>
        </w:rPr>
        <w:t>nox3</w:t>
      </w:r>
      <w:r w:rsidRPr="006B3154">
        <w:rPr>
          <w:rFonts w:ascii="Arial" w:hAnsi="Arial" w:cs="Arial"/>
          <w:sz w:val="20"/>
          <w:szCs w:val="20"/>
          <w:lang w:val="en-US"/>
        </w:rPr>
        <w:t xml:space="preserve">, </w:t>
      </w:r>
      <w:r w:rsidRPr="006B3154">
        <w:rPr>
          <w:rFonts w:ascii="Arial" w:hAnsi="Arial" w:cs="Arial"/>
          <w:i/>
          <w:iCs/>
          <w:sz w:val="20"/>
          <w:szCs w:val="20"/>
          <w:lang w:val="en-US"/>
        </w:rPr>
        <w:t>expa17</w:t>
      </w:r>
      <w:r w:rsidRPr="006B3154">
        <w:rPr>
          <w:rFonts w:ascii="Arial" w:hAnsi="Arial" w:cs="Arial"/>
          <w:sz w:val="20"/>
          <w:szCs w:val="20"/>
          <w:lang w:val="en-US"/>
        </w:rPr>
        <w:t xml:space="preserve"> and </w:t>
      </w:r>
      <w:r w:rsidRPr="006B3154">
        <w:rPr>
          <w:rFonts w:ascii="Arial" w:hAnsi="Arial" w:cs="Arial"/>
          <w:i/>
          <w:iCs/>
          <w:sz w:val="20"/>
          <w:szCs w:val="20"/>
          <w:lang w:val="en-US"/>
        </w:rPr>
        <w:t>rhl1</w:t>
      </w:r>
      <w:r w:rsidRPr="006B3154">
        <w:rPr>
          <w:rFonts w:ascii="Arial" w:hAnsi="Arial" w:cs="Arial"/>
          <w:sz w:val="20"/>
          <w:szCs w:val="20"/>
          <w:lang w:val="en-US"/>
        </w:rPr>
        <w:t xml:space="preserve">) and </w:t>
      </w:r>
      <w:r w:rsidRPr="006B3154">
        <w:rPr>
          <w:rFonts w:ascii="Arial" w:hAnsi="Arial" w:cs="Arial"/>
          <w:b/>
          <w:bCs/>
          <w:sz w:val="20"/>
          <w:szCs w:val="20"/>
          <w:lang w:val="en-US"/>
        </w:rPr>
        <w:t>(b)</w:t>
      </w:r>
      <w:r w:rsidRPr="006B3154">
        <w:rPr>
          <w:rFonts w:ascii="Arial" w:hAnsi="Arial" w:cs="Arial"/>
          <w:sz w:val="20"/>
          <w:szCs w:val="20"/>
          <w:lang w:val="en-US"/>
        </w:rPr>
        <w:t xml:space="preserve"> barley genotypes (Dema vs. </w:t>
      </w:r>
      <w:r w:rsidRPr="006B3154">
        <w:rPr>
          <w:rFonts w:ascii="Arial" w:hAnsi="Arial" w:cs="Arial"/>
          <w:i/>
          <w:iCs/>
          <w:sz w:val="20"/>
          <w:szCs w:val="20"/>
          <w:lang w:val="en-US"/>
        </w:rPr>
        <w:t>rhs2.a</w:t>
      </w:r>
      <w:r w:rsidRPr="006B3154">
        <w:rPr>
          <w:rFonts w:ascii="Arial" w:hAnsi="Arial" w:cs="Arial"/>
          <w:sz w:val="20"/>
          <w:szCs w:val="20"/>
          <w:lang w:val="en-US"/>
        </w:rPr>
        <w:t xml:space="preserve">, Karat vs. </w:t>
      </w:r>
      <w:r w:rsidRPr="006B3154">
        <w:rPr>
          <w:rFonts w:ascii="Arial" w:hAnsi="Arial" w:cs="Arial"/>
          <w:i/>
          <w:iCs/>
          <w:sz w:val="20"/>
          <w:szCs w:val="20"/>
          <w:lang w:val="en-US"/>
        </w:rPr>
        <w:t>rhl1.b</w:t>
      </w:r>
      <w:r w:rsidRPr="006B3154">
        <w:rPr>
          <w:rFonts w:ascii="Arial" w:hAnsi="Arial" w:cs="Arial"/>
          <w:sz w:val="20"/>
          <w:szCs w:val="20"/>
          <w:lang w:val="en-US"/>
        </w:rPr>
        <w:t xml:space="preserve">) under uninoculated control and bacterial inoculation treatments. Data are shown as boxplots with overlaid individual biological replicates. Within each treatment, mutants were compared with their corresponding wild-type genotypes using Dunnett’s test. Red asterisks indicate significant differences from the corresponding wild type within the same treatment (* </w:t>
      </w:r>
      <w:r w:rsidRPr="006B315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6B3154">
        <w:rPr>
          <w:rFonts w:ascii="Arial" w:hAnsi="Arial" w:cs="Arial"/>
          <w:sz w:val="20"/>
          <w:szCs w:val="20"/>
          <w:lang w:val="en-US"/>
        </w:rPr>
        <w:t xml:space="preserve"> &lt; 0.05, ** </w:t>
      </w:r>
      <w:r w:rsidRPr="006B315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6B3154">
        <w:rPr>
          <w:rFonts w:ascii="Arial" w:hAnsi="Arial" w:cs="Arial"/>
          <w:sz w:val="20"/>
          <w:szCs w:val="20"/>
          <w:lang w:val="en-US"/>
        </w:rPr>
        <w:t xml:space="preserve"> &lt; 0.01, *** </w:t>
      </w:r>
      <w:r w:rsidRPr="006B315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6B3154">
        <w:rPr>
          <w:rFonts w:ascii="Arial" w:hAnsi="Arial" w:cs="Arial"/>
          <w:sz w:val="20"/>
          <w:szCs w:val="20"/>
          <w:lang w:val="en-US"/>
        </w:rPr>
        <w:t xml:space="preserve"> &lt; 0.001).</w:t>
      </w:r>
      <w:r w:rsidRPr="006B3154">
        <w:rPr>
          <w:rFonts w:ascii="Arial" w:hAnsi="Arial" w:cs="Arial"/>
          <w:b/>
          <w:bCs/>
          <w:noProof/>
          <w:sz w:val="20"/>
          <w:szCs w:val="20"/>
          <w:lang w:val="en-US"/>
        </w:rPr>
        <w:t xml:space="preserve"> </w:t>
      </w:r>
    </w:p>
    <w:p w14:paraId="4790DDB1" w14:textId="77777777" w:rsidR="00AB274D" w:rsidRDefault="00AB274D" w:rsidP="00AB274D">
      <w:pPr>
        <w:spacing w:before="120" w:after="0" w:line="360" w:lineRule="auto"/>
        <w:rPr>
          <w:rFonts w:ascii="Arial" w:hAnsi="Arial" w:cs="Arial"/>
          <w:sz w:val="20"/>
          <w:szCs w:val="20"/>
          <w:lang w:val="en-US"/>
        </w:rPr>
      </w:pPr>
      <w:r w:rsidRPr="00892BC5">
        <w:rPr>
          <w:rFonts w:ascii="Arial" w:hAnsi="Arial" w:cs="Arial"/>
          <w:noProof/>
          <w:sz w:val="20"/>
          <w:szCs w:val="20"/>
          <w:lang w:val="en-US"/>
        </w:rPr>
        <w:lastRenderedPageBreak/>
        <w:drawing>
          <wp:inline distT="0" distB="0" distL="0" distR="0" wp14:anchorId="3E25A34E" wp14:editId="44F6B09E">
            <wp:extent cx="5120640" cy="8180093"/>
            <wp:effectExtent l="0" t="0" r="3810" b="0"/>
            <wp:docPr id="15617447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744736" name=""/>
                    <pic:cNvPicPr/>
                  </pic:nvPicPr>
                  <pic:blipFill rotWithShape="1">
                    <a:blip r:embed="rId7"/>
                    <a:srcRect l="1586" r="1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547" cy="8210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95AD7D" w14:textId="77777777" w:rsidR="00AB274D" w:rsidRPr="00892BC5" w:rsidRDefault="00AB274D" w:rsidP="00AB274D">
      <w:pPr>
        <w:spacing w:before="120"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B315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2699A" wp14:editId="76FA085E">
                <wp:simplePos x="0" y="0"/>
                <wp:positionH relativeFrom="margin">
                  <wp:posOffset>4799530</wp:posOffset>
                </wp:positionH>
                <wp:positionV relativeFrom="paragraph">
                  <wp:posOffset>2088938</wp:posOffset>
                </wp:positionV>
                <wp:extent cx="405553" cy="0"/>
                <wp:effectExtent l="0" t="0" r="0" b="0"/>
                <wp:wrapNone/>
                <wp:docPr id="38400012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55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ED469D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77.9pt,164.5pt" to="409.85pt,1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Pr="006B3154">
        <w:rPr>
          <w:rFonts w:ascii="Arial" w:hAnsi="Arial" w:cs="Arial"/>
          <w:b/>
          <w:bCs/>
          <w:sz w:val="20"/>
          <w:szCs w:val="20"/>
          <w:lang w:val="en-US"/>
        </w:rPr>
        <w:t xml:space="preserve">Fig. S3 Representative scanned root images of greenhouse-grown maize under different bacterial treatments </w:t>
      </w:r>
      <w:r w:rsidRPr="006B3154">
        <w:rPr>
          <w:rFonts w:ascii="Arial" w:hAnsi="Arial" w:cs="Arial"/>
          <w:sz w:val="20"/>
          <w:szCs w:val="20"/>
          <w:lang w:val="en-US"/>
        </w:rPr>
        <w:t xml:space="preserve">One representative root system is shown for each genotype-treatment </w:t>
      </w:r>
      <w:r w:rsidRPr="006B3154">
        <w:rPr>
          <w:rFonts w:ascii="Arial" w:hAnsi="Arial" w:cs="Arial"/>
          <w:sz w:val="20"/>
          <w:szCs w:val="20"/>
          <w:lang w:val="en-US"/>
        </w:rPr>
        <w:lastRenderedPageBreak/>
        <w:t>combination from five biological replicates. All scans are displayed at the same scale; scale bar = 10 cm.</w:t>
      </w:r>
    </w:p>
    <w:p w14:paraId="582D543F" w14:textId="77777777" w:rsidR="00AB274D" w:rsidRDefault="00AB274D" w:rsidP="00AB274D">
      <w:pPr>
        <w:spacing w:before="120"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6B3154">
        <w:rPr>
          <w:rFonts w:ascii="Arial" w:hAnsi="Arial" w:cs="Arial"/>
          <w:b/>
          <w:bCs/>
          <w:sz w:val="20"/>
          <w:szCs w:val="20"/>
          <w:lang w:val="en-US"/>
        </w:rPr>
        <w:t>a</w:t>
      </w:r>
    </w:p>
    <w:p w14:paraId="5E05EBCC" w14:textId="77777777" w:rsidR="00AB274D" w:rsidRPr="006B3154" w:rsidRDefault="00AB274D" w:rsidP="00AB274D">
      <w:pPr>
        <w:spacing w:before="120" w:after="0"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892BC5">
        <w:rPr>
          <w:rFonts w:ascii="Arial" w:hAnsi="Arial" w:cs="Arial"/>
          <w:b/>
          <w:bCs/>
          <w:noProof/>
          <w:sz w:val="20"/>
          <w:szCs w:val="20"/>
          <w:lang w:val="en-US"/>
        </w:rPr>
        <w:drawing>
          <wp:inline distT="0" distB="0" distL="0" distR="0" wp14:anchorId="711FECAA" wp14:editId="70C732F6">
            <wp:extent cx="5760720" cy="1802130"/>
            <wp:effectExtent l="0" t="0" r="0" b="7620"/>
            <wp:docPr id="956816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81613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3D511" w14:textId="77777777" w:rsidR="00AB274D" w:rsidRDefault="00AB274D" w:rsidP="00AB274D">
      <w:pPr>
        <w:spacing w:before="120" w:after="0" w:line="360" w:lineRule="auto"/>
        <w:rPr>
          <w:rFonts w:ascii="Arial" w:hAnsi="Arial" w:cs="Arial"/>
          <w:b/>
          <w:bCs/>
          <w:noProof/>
          <w:sz w:val="20"/>
          <w:szCs w:val="20"/>
          <w:lang w:val="en-US"/>
        </w:rPr>
      </w:pPr>
      <w:r w:rsidRPr="00E769D4">
        <w:rPr>
          <w:rFonts w:ascii="Arial" w:hAnsi="Arial" w:cs="Arial"/>
          <w:b/>
          <w:bCs/>
          <w:noProof/>
          <w:sz w:val="20"/>
          <w:szCs w:val="20"/>
          <w:lang w:val="en-US"/>
        </w:rPr>
        <w:drawing>
          <wp:anchor distT="0" distB="0" distL="114300" distR="114300" simplePos="0" relativeHeight="251662336" behindDoc="0" locked="0" layoutInCell="1" allowOverlap="1" wp14:anchorId="24FAF54A" wp14:editId="4AA0DD57">
            <wp:simplePos x="0" y="0"/>
            <wp:positionH relativeFrom="column">
              <wp:posOffset>1905</wp:posOffset>
            </wp:positionH>
            <wp:positionV relativeFrom="paragraph">
              <wp:posOffset>290537</wp:posOffset>
            </wp:positionV>
            <wp:extent cx="3827537" cy="2628900"/>
            <wp:effectExtent l="0" t="0" r="1905" b="0"/>
            <wp:wrapTopAndBottom/>
            <wp:docPr id="1549623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623779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537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 w:hint="eastAsia"/>
          <w:b/>
          <w:bCs/>
          <w:noProof/>
          <w:sz w:val="20"/>
          <w:szCs w:val="20"/>
          <w:lang w:val="en-US"/>
        </w:rPr>
        <w:t>b                                                        c</w:t>
      </w:r>
    </w:p>
    <w:p w14:paraId="7381AC7D" w14:textId="77777777" w:rsidR="00AB274D" w:rsidRPr="005B7598" w:rsidRDefault="00AB274D" w:rsidP="00AB274D">
      <w:pPr>
        <w:spacing w:before="120" w:after="0" w:line="360" w:lineRule="auto"/>
        <w:jc w:val="both"/>
        <w:rPr>
          <w:rFonts w:ascii="Arial" w:hAnsi="Arial" w:cs="Arial"/>
          <w:b/>
          <w:bCs/>
          <w:i/>
          <w:iCs/>
          <w:noProof/>
          <w:sz w:val="20"/>
          <w:szCs w:val="20"/>
          <w:lang w:val="en-US"/>
        </w:rPr>
      </w:pPr>
      <w:r w:rsidRPr="006B3154">
        <w:rPr>
          <w:rFonts w:ascii="Arial" w:hAnsi="Arial" w:cs="Arial"/>
          <w:b/>
          <w:bCs/>
          <w:sz w:val="20"/>
          <w:szCs w:val="20"/>
          <w:lang w:val="en-US"/>
        </w:rPr>
        <w:t>Fig. S4 Effects of bacterial inoculation on fine root traits in agar-grown maize seedlings</w:t>
      </w:r>
      <w:r w:rsidRPr="006B3154">
        <w:rPr>
          <w:rFonts w:ascii="Arial" w:hAnsi="Arial" w:cs="Arial"/>
          <w:sz w:val="20"/>
          <w:szCs w:val="20"/>
          <w:lang w:val="en-US"/>
        </w:rPr>
        <w:t xml:space="preserve"> </w:t>
      </w:r>
      <w:r w:rsidRPr="006B3154">
        <w:rPr>
          <w:rFonts w:ascii="Arial" w:hAnsi="Arial" w:cs="Arial"/>
          <w:b/>
          <w:bCs/>
          <w:sz w:val="20"/>
          <w:szCs w:val="20"/>
          <w:lang w:val="en-US"/>
        </w:rPr>
        <w:t>(a)</w:t>
      </w:r>
      <w:r w:rsidRPr="006B3154">
        <w:rPr>
          <w:rFonts w:ascii="Arial" w:hAnsi="Arial" w:cs="Arial"/>
          <w:sz w:val="20"/>
          <w:szCs w:val="20"/>
          <w:lang w:val="en-US"/>
        </w:rPr>
        <w:t xml:space="preserve"> Representative root scans used for fine root classification, with fine roots (diameter &lt; 0.5 mm) highlighted in red. Scale bar = 10 cm. </w:t>
      </w:r>
      <w:r w:rsidRPr="006B3154">
        <w:rPr>
          <w:rFonts w:ascii="Arial" w:hAnsi="Arial" w:cs="Arial"/>
          <w:b/>
          <w:bCs/>
          <w:sz w:val="20"/>
          <w:szCs w:val="20"/>
          <w:lang w:val="en-US"/>
        </w:rPr>
        <w:t>(b)</w:t>
      </w:r>
      <w:r w:rsidRPr="006B3154">
        <w:rPr>
          <w:rFonts w:ascii="Arial" w:hAnsi="Arial" w:cs="Arial"/>
          <w:sz w:val="20"/>
          <w:szCs w:val="20"/>
          <w:lang w:val="en-US"/>
        </w:rPr>
        <w:t xml:space="preserve"> Fine root length. </w:t>
      </w:r>
      <w:r w:rsidRPr="006B3154">
        <w:rPr>
          <w:rFonts w:ascii="Arial" w:hAnsi="Arial" w:cs="Arial"/>
          <w:b/>
          <w:bCs/>
          <w:sz w:val="20"/>
          <w:szCs w:val="20"/>
          <w:lang w:val="en-US"/>
        </w:rPr>
        <w:t xml:space="preserve">(c) </w:t>
      </w:r>
      <w:r w:rsidRPr="006B3154">
        <w:rPr>
          <w:rFonts w:ascii="Arial" w:hAnsi="Arial" w:cs="Arial"/>
          <w:sz w:val="20"/>
          <w:szCs w:val="20"/>
          <w:lang w:val="en-US"/>
        </w:rPr>
        <w:t xml:space="preserve">Fine root proportion, calculated as fine root length divided by total root length for each seedling. Bars represent means ± SE with overlaid biological replicates. No significant differences were detected among treatments within either genotype. (* </w:t>
      </w:r>
      <w:r w:rsidRPr="006B315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6B3154">
        <w:rPr>
          <w:rFonts w:ascii="Arial" w:hAnsi="Arial" w:cs="Arial"/>
          <w:sz w:val="20"/>
          <w:szCs w:val="20"/>
          <w:lang w:val="en-US"/>
        </w:rPr>
        <w:t xml:space="preserve"> &lt; 0.05, ** </w:t>
      </w:r>
      <w:r w:rsidRPr="006B315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6B3154">
        <w:rPr>
          <w:rFonts w:ascii="Arial" w:hAnsi="Arial" w:cs="Arial"/>
          <w:sz w:val="20"/>
          <w:szCs w:val="20"/>
          <w:lang w:val="en-US"/>
        </w:rPr>
        <w:t xml:space="preserve"> &lt; 0.01, *** </w:t>
      </w:r>
      <w:r w:rsidRPr="006B315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6B3154">
        <w:rPr>
          <w:rFonts w:ascii="Arial" w:hAnsi="Arial" w:cs="Arial"/>
          <w:sz w:val="20"/>
          <w:szCs w:val="20"/>
          <w:lang w:val="en-US"/>
        </w:rPr>
        <w:t xml:space="preserve"> &lt; 0.001). </w:t>
      </w:r>
      <w:r w:rsidRPr="006B3154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8583B0F" wp14:editId="0BDE69DF">
                <wp:simplePos x="0" y="0"/>
                <wp:positionH relativeFrom="column">
                  <wp:posOffset>-7620</wp:posOffset>
                </wp:positionH>
                <wp:positionV relativeFrom="paragraph">
                  <wp:posOffset>2589530</wp:posOffset>
                </wp:positionV>
                <wp:extent cx="5828030" cy="1404620"/>
                <wp:effectExtent l="0" t="0" r="1270" b="7620"/>
                <wp:wrapSquare wrapText="bothSides"/>
                <wp:docPr id="11444861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9E508" w14:textId="77777777" w:rsidR="00AB274D" w:rsidRPr="00667E27" w:rsidRDefault="00AB274D" w:rsidP="00AB274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  <w:lang w:val="en-US"/>
                              </w:rPr>
                              <w:t xml:space="preserve">          </w:t>
                            </w:r>
                            <w:r w:rsidRPr="00C3596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H50             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  <w:lang w:val="en-US"/>
                              </w:rPr>
                              <w:t xml:space="preserve">          </w:t>
                            </w:r>
                            <w:r w:rsidRPr="00C3596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 H51              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  <w:lang w:val="en-US"/>
                              </w:rPr>
                              <w:t xml:space="preserve">        </w:t>
                            </w:r>
                            <w:r w:rsidRPr="00C3596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H54             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  <w:lang w:val="en-US"/>
                              </w:rPr>
                              <w:t xml:space="preserve">        </w:t>
                            </w:r>
                            <w:r w:rsidRPr="00C3596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 H56            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  <w:lang w:val="en-US"/>
                              </w:rPr>
                              <w:t xml:space="preserve">         </w:t>
                            </w:r>
                            <w:r w:rsidRPr="00C3596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  H59             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  <w:lang w:val="en-US"/>
                              </w:rPr>
                              <w:t xml:space="preserve">       </w:t>
                            </w:r>
                            <w:r w:rsidRPr="00C3596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   H60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583B0F" id="_x0000_s1027" type="#_x0000_t202" style="position:absolute;left:0;text-align:left;margin-left:-.6pt;margin-top:203.9pt;width:458.9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" stroked="f">
                <v:textbox style="mso-fit-shape-to-text:t">
                  <w:txbxContent>
                    <w:p w14:paraId="2129E508" w14:textId="77777777" w:rsidR="00AB274D" w:rsidRPr="00667E27" w:rsidRDefault="00AB274D" w:rsidP="00AB274D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  <w:lang w:val="en-US"/>
                        </w:rPr>
                        <w:t xml:space="preserve">          </w:t>
                      </w:r>
                      <w:r w:rsidRPr="00C3596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H50             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  <w:lang w:val="en-US"/>
                        </w:rPr>
                        <w:t xml:space="preserve">          </w:t>
                      </w:r>
                      <w:r w:rsidRPr="00C3596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 H51              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  <w:lang w:val="en-US"/>
                        </w:rPr>
                        <w:t xml:space="preserve">        </w:t>
                      </w:r>
                      <w:r w:rsidRPr="00C3596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H54             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  <w:lang w:val="en-US"/>
                        </w:rPr>
                        <w:t xml:space="preserve">        </w:t>
                      </w:r>
                      <w:r w:rsidRPr="00C3596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 H56            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  <w:lang w:val="en-US"/>
                        </w:rPr>
                        <w:t xml:space="preserve">         </w:t>
                      </w:r>
                      <w:r w:rsidRPr="00C3596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  H59             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  <w:lang w:val="en-US"/>
                        </w:rPr>
                        <w:t xml:space="preserve">       </w:t>
                      </w:r>
                      <w:r w:rsidRPr="00C3596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   H60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B3154">
        <w:rPr>
          <w:rFonts w:ascii="Arial" w:hAnsi="Arial" w:cs="Arial"/>
          <w:b/>
          <w:bCs/>
          <w:i/>
          <w:iCs/>
          <w:noProof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50C323E8" w14:textId="77777777" w:rsidR="00AB274D" w:rsidRPr="005B7598" w:rsidRDefault="00AB274D" w:rsidP="00AB274D">
      <w:pPr>
        <w:spacing w:before="120"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92BC5">
        <w:rPr>
          <w:rFonts w:ascii="Arial" w:hAnsi="Arial" w:cs="Arial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6E90450F" wp14:editId="2FB6415E">
            <wp:extent cx="5760720" cy="5708650"/>
            <wp:effectExtent l="0" t="0" r="0" b="6350"/>
            <wp:docPr id="2004201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20175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0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3154">
        <w:rPr>
          <w:rFonts w:ascii="Arial" w:hAnsi="Arial" w:cs="Arial"/>
          <w:b/>
          <w:bCs/>
          <w:sz w:val="20"/>
          <w:szCs w:val="20"/>
          <w:lang w:val="en-US"/>
        </w:rPr>
        <w:t xml:space="preserve">Fig. S5 Qualitative screening of phosphate-solubilizing activity among </w:t>
      </w:r>
      <w:r w:rsidRPr="006B3154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Kribbella</w:t>
      </w:r>
      <w:r w:rsidRPr="006B3154">
        <w:rPr>
          <w:rFonts w:ascii="Arial" w:hAnsi="Arial" w:cs="Arial"/>
          <w:b/>
          <w:bCs/>
          <w:sz w:val="20"/>
          <w:szCs w:val="20"/>
          <w:lang w:val="en-US"/>
        </w:rPr>
        <w:t xml:space="preserve"> and </w:t>
      </w:r>
      <w:r w:rsidRPr="006B3154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Nocardioides</w:t>
      </w:r>
      <w:r w:rsidRPr="006B3154">
        <w:rPr>
          <w:rFonts w:ascii="Arial" w:hAnsi="Arial" w:cs="Arial"/>
          <w:b/>
          <w:bCs/>
          <w:sz w:val="20"/>
          <w:szCs w:val="20"/>
          <w:lang w:val="en-US"/>
        </w:rPr>
        <w:t xml:space="preserve"> isolates</w:t>
      </w:r>
      <w:r w:rsidRPr="006B3154">
        <w:rPr>
          <w:rFonts w:ascii="Arial" w:hAnsi="Arial" w:cs="Arial"/>
          <w:sz w:val="20"/>
          <w:szCs w:val="20"/>
          <w:lang w:val="en-US"/>
        </w:rPr>
        <w:t xml:space="preserve"> Representative plate images of all halo-positive isolates used for qualitative evaluation of phosphate solubilization on insoluble phosphate medium. Visible halo formation was used as an indicator of detectable phosphate-solubilizing activity. Isolates without visible halos are not shown. Isolate IDs correspond to entries in the bacterial culture collection used in this study.</w:t>
      </w:r>
    </w:p>
    <w:p w14:paraId="75FC2DE5" w14:textId="77777777" w:rsidR="00E023F9" w:rsidRDefault="00E023F9"/>
    <w:sectPr w:rsidR="00E023F9" w:rsidSect="00AB274D">
      <w:footerReference w:type="default" r:id="rId11"/>
      <w:pgSz w:w="11906" w:h="16838"/>
      <w:pgMar w:top="1417" w:right="1417" w:bottom="1134" w:left="1417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7416608"/>
      <w:docPartObj>
        <w:docPartGallery w:val="Page Numbers (Bottom of Page)"/>
        <w:docPartUnique/>
      </w:docPartObj>
    </w:sdtPr>
    <w:sdtContent>
      <w:p w14:paraId="7DF682CB" w14:textId="77777777" w:rsidR="00AB274D" w:rsidRDefault="00AB274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04A92B" w14:textId="77777777" w:rsidR="00AB274D" w:rsidRDefault="00AB274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74D"/>
    <w:rsid w:val="000C4033"/>
    <w:rsid w:val="00173ED8"/>
    <w:rsid w:val="004B42CB"/>
    <w:rsid w:val="00587E7F"/>
    <w:rsid w:val="005F2B46"/>
    <w:rsid w:val="006E1731"/>
    <w:rsid w:val="00866D74"/>
    <w:rsid w:val="00882A73"/>
    <w:rsid w:val="0095305D"/>
    <w:rsid w:val="00AB274D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1C0C1"/>
  <w15:chartTrackingRefBased/>
  <w15:docId w15:val="{805816F0-488F-48E3-8763-602E762C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74D"/>
    <w:rPr>
      <w:rFonts w:eastAsiaTheme="minorEastAsia"/>
      <w:lang w:val="de-DE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2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2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7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7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7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27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27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7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7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7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7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7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7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2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AB2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AB2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274D"/>
    <w:pPr>
      <w:spacing w:before="160"/>
      <w:jc w:val="center"/>
    </w:pPr>
    <w:rPr>
      <w:rFonts w:eastAsiaTheme="minorHAnsi"/>
      <w:i/>
      <w:iCs/>
      <w:color w:val="404040" w:themeColor="text1" w:themeTint="BF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AB27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274D"/>
    <w:pPr>
      <w:ind w:left="720"/>
      <w:contextualSpacing/>
    </w:pPr>
    <w:rPr>
      <w:rFonts w:eastAsiaTheme="minorHAnsi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AB27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7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7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274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AB2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74D"/>
    <w:rPr>
      <w:rFonts w:eastAsiaTheme="minorEastAsia"/>
      <w:lang w:val="de-DE" w:eastAsia="zh-CN"/>
    </w:rPr>
  </w:style>
  <w:style w:type="character" w:styleId="LineNumber">
    <w:name w:val="line number"/>
    <w:basedOn w:val="DefaultParagraphFont"/>
    <w:uiPriority w:val="99"/>
    <w:semiHidden/>
    <w:unhideWhenUsed/>
    <w:rsid w:val="00AB2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oter" Target="footer1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2026-05-25T11:08:00Z</dcterms:created>
  <dcterms:modified xsi:type="dcterms:W3CDTF">2026-05-25T11:08:00Z</dcterms:modified>
</cp:coreProperties>
</file>